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>
      <w:pPr>
        <w:spacing w:before="0" w:after="0" w:line="559" w:lineRule="exact"/>
        <w:ind w:left="0" w:right="2506" w:firstLine="881"/>
        <w:jc w:val="left"/>
        <w:rPr>
          <w:rFonts w:hAnsi="Calibri"/>
          <w:color w:val="000000"/>
          <w:sz w:val="44"/>
          <w:szCs w:val="22"/>
          <w:lang w:val="en-US" w:eastAsia="en-US" w:bidi="ar-SA"/>
        </w:rPr>
      </w:pPr>
      <w:bookmarkStart w:id="0" w:name="br1"/>
      <w:bookmarkEnd w:id="0"/>
      <w:r>
        <w:rPr>
          <w:rFonts w:ascii="JLMUQU+FZXBSJW--GB1-0" w:hAnsi="JLMUQU+FZXBSJW--GB1-0" w:eastAsiaTheme="minorEastAsia" w:cs="JLMUQU+FZXBSJW--GB1-0"/>
          <w:color w:val="000000"/>
          <w:sz w:val="44"/>
          <w:szCs w:val="22"/>
          <w:lang w:val="en-US" w:eastAsia="en-US" w:bidi="ar-SA"/>
        </w:rPr>
        <w:t xml:space="preserve">危险化学品企业安全风险 </w:t>
      </w:r>
      <w:r>
        <w:rPr>
          <w:rFonts w:ascii="JLMUQU+FZXBSJW--GB1-0" w:hAnsi="JLMUQU+FZXBSJW--GB1-0" w:eastAsiaTheme="minorEastAsia" w:cs="JLMUQU+FZXBSJW--GB1-0"/>
          <w:color w:val="000000"/>
          <w:sz w:val="44"/>
          <w:szCs w:val="22"/>
          <w:lang w:val="en-US" w:eastAsia="en-US" w:bidi="ar-SA"/>
        </w:rPr>
        <w:t>智能化管控平台建设指南（试行）</w:t>
      </w:r>
    </w:p>
    <w:p>
      <w:pPr>
        <w:spacing w:before="7488" w:after="0" w:line="329" w:lineRule="exact"/>
        <w:ind w:left="246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  <w:sectPr>
          <w:pgSz w:w="11900" w:h="16820"/>
          <w:pgMar w:top="3989" w:right="100" w:bottom="0" w:left="2652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2022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TKBUCW+FangSong_GB2312" w:hAnsi="TKBUCW+FangSong_GB2312" w:eastAsiaTheme="minorEastAsia" w:cs="TKBUCW+FangSong_GB2312"/>
          <w:color w:val="000000"/>
          <w:sz w:val="32"/>
          <w:szCs w:val="22"/>
          <w:lang w:val="en-US" w:eastAsia="en-US" w:bidi="ar-SA"/>
        </w:rPr>
        <w:t>年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TKBUCW+FangSong_GB2312" w:hAnsi="TKBUCW+FangSong_GB2312" w:eastAsiaTheme="minorEastAsia" w:cs="TKBUCW+FangSong_GB2312"/>
          <w:color w:val="000000"/>
          <w:sz w:val="32"/>
          <w:szCs w:val="22"/>
          <w:lang w:val="en-US" w:eastAsia="en-US" w:bidi="ar-SA"/>
        </w:rPr>
        <w:t>月</w:t>
      </w:r>
    </w:p>
    <w:p>
      <w:pPr>
        <w:spacing w:before="0" w:after="0" w:line="329" w:lineRule="exact"/>
        <w:ind w:left="3806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" w:name="br1_0"/>
      <w:bookmarkEnd w:id="1"/>
      <w:r>
        <w:rPr>
          <w:rFonts w:ascii="SimHei" w:hAnsi="SimHei" w:eastAsiaTheme="minorEastAsia" w:cs="SimHei"/>
          <w:color w:val="000000"/>
          <w:sz w:val="32"/>
          <w:szCs w:val="22"/>
          <w:lang w:val="en-US" w:eastAsia="en-US" w:bidi="ar-SA"/>
        </w:rPr>
        <w:t>目</w:t>
      </w:r>
      <w:bookmarkStart w:id="2" w:name="br1_1"/>
      <w:bookmarkEnd w:id="2"/>
      <w:r>
        <w:rPr>
          <w:rFonts w:hAnsi="Calibri" w:eastAsiaTheme="minorEastAsia" w:cstheme="minorBidi"/>
          <w:color w:val="000000"/>
          <w:spacing w:val="399"/>
          <w:sz w:val="32"/>
          <w:szCs w:val="22"/>
          <w:lang w:val="en-US" w:eastAsia="en-US" w:bidi="ar-SA"/>
        </w:rPr>
        <w:t xml:space="preserve"> </w:t>
      </w:r>
      <w:r>
        <w:rPr>
          <w:rFonts w:ascii="SimHei" w:hAnsi="SimHei" w:eastAsiaTheme="minorEastAsia" w:cs="SimHei"/>
          <w:color w:val="000000"/>
          <w:sz w:val="32"/>
          <w:szCs w:val="22"/>
          <w:lang w:val="en-US" w:eastAsia="en-US" w:bidi="ar-SA"/>
        </w:rPr>
        <w:t>录</w:t>
      </w:r>
    </w:p>
    <w:p>
      <w:pPr>
        <w:spacing w:before="314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一、总则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.............................................1</w:t>
        </w:r>
      </w:hyperlink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二、编制依据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.........................................2</w:t>
        </w:r>
      </w:hyperlink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三、总体架构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.........................................3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（一）平台建设基本要求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7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3</w:t>
        </w:r>
      </w:hyperlink>
    </w:p>
    <w:p>
      <w:pPr>
        <w:spacing w:before="233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（二）系统和网络架构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8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4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（三）数据体系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8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8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（四）系统安全体系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9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9</w:t>
        </w:r>
      </w:hyperlink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四、系统功能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........................................10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（一）安全管理基础信息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8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10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1.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安全生产许可相关证照和有关报告信息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10</w:t>
        </w:r>
      </w:hyperlink>
    </w:p>
    <w:p>
      <w:pPr>
        <w:spacing w:before="233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2.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生产过程基础信息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10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3.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设备设施基础信息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10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4.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企业人员基础信息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11</w:t>
        </w:r>
      </w:hyperlink>
    </w:p>
    <w:p>
      <w:pPr>
        <w:spacing w:before="233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5.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第三方人员基础信息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11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（二）重大危险源安全管理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1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11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1.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重大危险源安全包保责任落实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11</w:t>
        </w:r>
      </w:hyperlink>
    </w:p>
    <w:p>
      <w:pPr>
        <w:spacing w:before="233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2.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在线监测预警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11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3.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风险管控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12</w:t>
        </w:r>
      </w:hyperlink>
    </w:p>
    <w:p>
      <w:pPr>
        <w:spacing w:before="230" w:after="0" w:line="329" w:lineRule="exact"/>
        <w:ind w:left="84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4.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pacing w:val="-1"/>
            <w:sz w:val="32"/>
            <w:szCs w:val="22"/>
            <w:lang w:val="en-US" w:eastAsia="en-US" w:bidi="ar-SA"/>
          </w:rPr>
          <w:t>评价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/</w:t>
        </w:r>
      </w:hyperlink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评估报告及隐患管理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5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12</w:t>
        </w:r>
      </w:hyperlink>
    </w:p>
    <w:p>
      <w:pPr>
        <w:spacing w:before="233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（三）双重预防机制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10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12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（四）特殊作业许可与作业过程管理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9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13</w:t>
        </w:r>
      </w:hyperlink>
    </w:p>
    <w:p>
      <w:pPr>
        <w:spacing w:before="230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DQRROP+FangSong_GB2312" w:hAnsi="DQRROP+FangSong_GB2312" w:eastAsiaTheme="minorEastAsia" w:cs="DQRROP+FangSong_GB2312"/>
            <w:color w:val="000000"/>
            <w:sz w:val="32"/>
            <w:szCs w:val="22"/>
            <w:lang w:val="en-US" w:eastAsia="en-US" w:bidi="ar-SA"/>
          </w:rPr>
          <w:t>（五）智能巡检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9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>13</w:t>
        </w:r>
      </w:hyperlink>
    </w:p>
    <w:p>
      <w:pPr>
        <w:spacing w:before="781" w:after="0" w:line="209" w:lineRule="exact"/>
        <w:ind w:left="433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2078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AEQCIK+TimesNewRomanPSMT" w:hAnsi="Calibri" w:eastAsiaTheme="minorEastAsia" w:cstheme="minorBidi"/>
          <w:color w:val="000000"/>
          <w:sz w:val="18"/>
          <w:szCs w:val="22"/>
          <w:lang w:val="en-US" w:eastAsia="en-US" w:bidi="ar-SA"/>
        </w:rPr>
        <w:t>I</w:t>
      </w:r>
    </w:p>
    <w:p w:rsidR="00A77B3E">
      <w:pPr>
        <w:rPr>
          <w:lang w:val="en-US" w:eastAsia="en-US" w:bidi="ar-SA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" w:name="br1_2"/>
      <w:bookmarkEnd w:id="3"/>
      <w:r>
        <w:rPr>
          <w:rFonts w:ascii="SimHei" w:hAnsi="SimHei" w:eastAsiaTheme="minorEastAsia" w:cs="SimHei"/>
          <w:color w:val="000000"/>
          <w:spacing w:val="2"/>
          <w:sz w:val="32"/>
          <w:szCs w:val="22"/>
          <w:lang w:val="en-US" w:eastAsia="en-US" w:bidi="ar-SA"/>
        </w:rPr>
        <w:t>一、总则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当前我国已成为世界化工第一大国，主要化工产品产量居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1"/>
          <w:sz w:val="32"/>
          <w:szCs w:val="22"/>
          <w:lang w:val="en-US" w:eastAsia="en-US" w:bidi="ar-SA"/>
        </w:rPr>
        <w:t>世界第一位，化工总产值占世界总量的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40%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，预计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2030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年将达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到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50%</w:t>
      </w:r>
      <w:r>
        <w:rPr>
          <w:rFonts w:ascii="JBRVKI+FangSong_GB2312" w:hAnsi="JBRVKI+FangSong_GB2312" w:eastAsiaTheme="minorEastAsia" w:cs="JBRVKI+FangSong_GB2312"/>
          <w:color w:val="000000"/>
          <w:spacing w:val="-6"/>
          <w:sz w:val="32"/>
          <w:szCs w:val="22"/>
          <w:lang w:val="en-US" w:eastAsia="en-US" w:bidi="ar-SA"/>
        </w:rPr>
        <w:t>。化工生产过程复杂多样，涉及的物料易燃易爆、有毒有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害，生产条件多高温高压、低温负压，现场危险化学品储存量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大、危险源集中，化工（危险化学品）企业（以下简称危险化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-9"/>
          <w:sz w:val="32"/>
          <w:szCs w:val="22"/>
          <w:lang w:val="en-US" w:eastAsia="en-US" w:bidi="ar-SA"/>
        </w:rPr>
        <w:t>学品企业）重特大事故多发，暴露出传统安全风险管控手段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看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不住、管不全、管不好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等问题突出。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依靠物联网、大数据、云计算、人工智能（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AI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）、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JBRVKI+FangSong_GB2312" w:hAnsi="JBRVKI+FangSong_GB2312" w:eastAsiaTheme="minorEastAsia" w:cs="JBRVKI+FangSong_GB2312"/>
          <w:color w:val="000000"/>
          <w:spacing w:val="2"/>
          <w:sz w:val="32"/>
          <w:szCs w:val="22"/>
          <w:lang w:val="en-US" w:eastAsia="en-US" w:bidi="ar-SA"/>
        </w:rPr>
        <w:t>等新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-2"/>
          <w:sz w:val="32"/>
          <w:szCs w:val="22"/>
          <w:lang w:val="en-US" w:eastAsia="en-US" w:bidi="ar-SA"/>
        </w:rPr>
        <w:t>一代信息技术，建设危险化学品企业安全风险智能化管控平台，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加强在感知、监测、预警、处置、评估等方面赋能危险化学品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企业，破解企业安全生产的痛点、难点、堵点问题，是实现危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险化学品企业转型升级的必由之路。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为认真贯彻习近平总书记关于危险化学品安全和工业互联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网发展应用的重要指示精神和党中央、国务院有关决策部署，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落实《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行动计划（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2021—2023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年）》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和《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试点建设方案》工作安排，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有效指导全国危险化学品企业安全风险管控数字化转型智能化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升级，编制本指南。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危险化学品企业安全风险智能化管控平台建设坚持以有效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防范化解重大安全风险为目标，突出安全基础管理、重大危险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源安全管理、安全风险分级管控和隐患排查治理双重预防机制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4"/>
          <w:sz w:val="32"/>
          <w:szCs w:val="22"/>
          <w:lang w:val="en-US" w:eastAsia="en-US" w:bidi="ar-SA"/>
        </w:rPr>
        <w:t>（以下简称双重预防机制）、特殊作业许可与作业过程管理、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BRVKI+FangSong_GB2312" w:hAnsi="JBRVKI+FangSong_GB2312" w:eastAsiaTheme="minorEastAsia" w:cs="JBRVKI+FangSong_GB2312"/>
          <w:color w:val="000000"/>
          <w:spacing w:val="-4"/>
          <w:sz w:val="32"/>
          <w:szCs w:val="22"/>
          <w:lang w:val="en-US" w:eastAsia="en-US" w:bidi="ar-SA"/>
        </w:rPr>
        <w:t>智能巡检、人员定位等基本功能，打造企业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JBRVKI+FangSong_GB2312" w:hAnsi="JBRVKI+FangSong_GB2312" w:eastAsiaTheme="minorEastAsia" w:cs="JBRVKI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JBRVKI+FangSong_GB2312" w:hAnsi="JBRVKI+FangSong_GB2312" w:eastAsiaTheme="minorEastAsia" w:cs="JBRVKI+FangSong_GB2312"/>
          <w:color w:val="000000"/>
          <w:spacing w:val="-1"/>
          <w:sz w:val="32"/>
          <w:szCs w:val="22"/>
          <w:lang w:val="en-US" w:eastAsia="en-US" w:bidi="ar-SA"/>
        </w:rPr>
        <w:t>危化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1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4" w:name="br1_3"/>
      <w:bookmarkEnd w:id="4"/>
      <w:r>
        <w:rPr>
          <w:rFonts w:ascii="DGJDCA+FangSong_GB2312" w:hAnsi="DGJDCA+FangSong_GB2312" w:eastAsiaTheme="minorEastAsia" w:cs="DGJDCA+FangSong_GB2312"/>
          <w:color w:val="000000"/>
          <w:spacing w:val="3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DGJDCA+FangSong_GB2312" w:hAnsi="DGJDCA+FangSong_GB2312" w:eastAsiaTheme="minorEastAsia" w:cs="DGJDCA+FangSong_GB2312"/>
          <w:color w:val="000000"/>
          <w:spacing w:val="4"/>
          <w:sz w:val="32"/>
          <w:szCs w:val="22"/>
          <w:lang w:val="en-US" w:eastAsia="en-US" w:bidi="ar-SA"/>
        </w:rPr>
        <w:t>新基础设施建设，推动企业安全基础管理数字化、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4"/>
          <w:sz w:val="32"/>
          <w:szCs w:val="22"/>
          <w:lang w:val="en-US" w:eastAsia="en-US" w:bidi="ar-SA"/>
        </w:rPr>
        <w:t>风险预警精准化、风险管控系统化、危险作业无人化、运维辅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4"/>
          <w:sz w:val="32"/>
          <w:szCs w:val="22"/>
          <w:lang w:val="en-US" w:eastAsia="en-US" w:bidi="ar-SA"/>
        </w:rPr>
        <w:t>助远程化，为实现危险化学品企业安全风险管控数字化转型智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能化升级注入新动能。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4"/>
          <w:sz w:val="32"/>
          <w:szCs w:val="22"/>
          <w:lang w:val="en-US" w:eastAsia="en-US" w:bidi="ar-SA"/>
        </w:rPr>
        <w:t>本指南适用于全国范围内危险化学品企业安全风险智能化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管控平台的设计、建设与应用。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二、编制依据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《关于全面加强危险化学品安全生产工作的意见》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《危险化学品安全管理条例》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18"/>
          <w:sz w:val="32"/>
          <w:szCs w:val="22"/>
          <w:lang w:val="en-US" w:eastAsia="en-US" w:bidi="ar-SA"/>
        </w:rPr>
        <w:t>《危险化学品安全专项整治三年行动实施方案》（安委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2"/>
          <w:sz w:val="32"/>
          <w:szCs w:val="22"/>
          <w:lang w:val="en-US" w:eastAsia="en-US" w:bidi="ar-SA"/>
        </w:rPr>
        <w:t>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2020</w:t>
      </w:r>
      <w:r>
        <w:rPr>
          <w:rFonts w:ascii="DGJDCA+FangSong_GB2312" w:hAnsi="DGJDCA+FangSong_GB2312" w:eastAsiaTheme="minorEastAsia" w:cs="DGJDCA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-3"/>
          <w:sz w:val="32"/>
          <w:szCs w:val="22"/>
          <w:lang w:val="en-US" w:eastAsia="en-US" w:bidi="ar-SA"/>
        </w:rPr>
        <w:t>《全国危险化学品安全风险集中治理方案》（安委〔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12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行动计划（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2021—2023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年）》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（工信部联信发〔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2020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157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1"/>
          <w:sz w:val="32"/>
          <w:szCs w:val="22"/>
          <w:lang w:val="en-US" w:eastAsia="en-US" w:bidi="ar-SA"/>
        </w:rPr>
        <w:t>《工业互联网创新发展行动计划（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2021—2023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年）》（工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信部信管〔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2020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197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2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1"/>
          <w:sz w:val="32"/>
          <w:szCs w:val="22"/>
          <w:lang w:val="en-US" w:eastAsia="en-US" w:bidi="ar-SA"/>
        </w:rPr>
        <w:t>《工业互联网综合标准化体系建设指南（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2021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版）》（工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信部联科〔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291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DGJDCA+FangSong_GB2312" w:hAnsi="DGJDCA+FangSong_GB2312" w:eastAsiaTheme="minorEastAsia" w:cs="DGJDCA+FangSong_GB2312"/>
          <w:color w:val="000000"/>
          <w:spacing w:val="-6"/>
          <w:sz w:val="32"/>
          <w:szCs w:val="22"/>
          <w:lang w:val="en-US" w:eastAsia="en-US" w:bidi="ar-SA"/>
        </w:rPr>
        <w:t>试点建设方案》（应急厅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2"/>
          <w:sz w:val="32"/>
          <w:szCs w:val="22"/>
          <w:lang w:val="en-US" w:eastAsia="en-US" w:bidi="ar-SA"/>
        </w:rPr>
        <w:t>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DGJDCA+FangSong_GB2312" w:hAnsi="DGJDCA+FangSong_GB2312" w:eastAsiaTheme="minorEastAsia" w:cs="DGJDCA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27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18"/>
          <w:sz w:val="32"/>
          <w:szCs w:val="22"/>
          <w:lang w:val="en-US" w:eastAsia="en-US" w:bidi="ar-SA"/>
        </w:rPr>
        <w:t>《危险化学品企业重大危险源安全包保责任制办法（试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z w:val="32"/>
          <w:szCs w:val="22"/>
          <w:lang w:val="en-US" w:eastAsia="en-US" w:bidi="ar-SA"/>
        </w:rPr>
        <w:t>行）》（应急厅〔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12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DGJDCA+FangSong_GB2312" w:hAnsi="DGJDCA+FangSong_GB2312" w:eastAsiaTheme="minorEastAsia" w:cs="DGJDCA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GJDCA+FangSong_GB2312" w:hAnsi="DGJDCA+FangSong_GB2312" w:eastAsiaTheme="minorEastAsia" w:cs="DGJDCA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DGJDCA+FangSong_GB2312" w:hAnsi="DGJDCA+FangSong_GB2312" w:eastAsiaTheme="minorEastAsia" w:cs="DGJDCA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DGJDCA+FangSong_GB2312" w:hAnsi="DGJDCA+FangSong_GB2312" w:eastAsiaTheme="minorEastAsia" w:cs="DGJDCA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DGJDCA+FangSong_GB2312" w:hAnsi="DGJDCA+FangSong_GB2312" w:eastAsiaTheme="minorEastAsia" w:cs="DGJDCA+FangSong_GB2312"/>
          <w:color w:val="000000"/>
          <w:spacing w:val="10"/>
          <w:sz w:val="32"/>
          <w:szCs w:val="22"/>
          <w:lang w:val="en-US" w:eastAsia="en-US" w:bidi="ar-SA"/>
        </w:rPr>
        <w:t>试点建设实施指南（试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2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5" w:name="br1_4"/>
      <w:bookmarkEnd w:id="5"/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行）》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《危险化学品企业双重预防机制数字化建设工作指南（试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KHWOIK+FangSong_GB2312" w:hAnsi="KHWOIK+FangSong_GB2312" w:eastAsiaTheme="minorEastAsia" w:cs="KHWOIK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特殊作业许可与作业过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程管理系统建设应用指南（试行）》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KHWOIK+FangSong_GB2312" w:hAnsi="KHWOIK+FangSong_GB2312" w:eastAsiaTheme="minorEastAsia" w:cs="KHWOIK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智能巡检系统建设应用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指南（试行）》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KHWOIK+FangSong_GB2312" w:hAnsi="KHWOIK+FangSong_GB2312" w:eastAsiaTheme="minorEastAsia" w:cs="KHWOIK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KHWOIK+FangSong_GB2312" w:hAnsi="KHWOIK+FangSong_GB2312" w:eastAsiaTheme="minorEastAsia" w:cs="KHWOIK+FangSong_GB2312"/>
          <w:color w:val="000000"/>
          <w:spacing w:val="10"/>
          <w:sz w:val="32"/>
          <w:szCs w:val="22"/>
          <w:lang w:val="en-US" w:eastAsia="en-US" w:bidi="ar-SA"/>
        </w:rPr>
        <w:t>人员定位系统建设应用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指南（试行）》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《危险化学品重大危险源标识》（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GB</w:t>
      </w:r>
      <w:r>
        <w:rPr>
          <w:rFonts w:hAnsi="Calibri" w:eastAsiaTheme="minorEastAsia" w:cstheme="minorBidi"/>
          <w:color w:val="000000"/>
          <w:spacing w:val="83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18218—2018</w:t>
      </w: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《工业互联网标识解析</w:t>
      </w:r>
      <w:r>
        <w:rPr>
          <w:rFonts w:hAnsi="Calibri" w:eastAsiaTheme="minorEastAsia" w:cstheme="minorBidi"/>
          <w:color w:val="000000"/>
          <w:spacing w:val="85"/>
          <w:sz w:val="32"/>
          <w:szCs w:val="22"/>
          <w:lang w:val="en-US" w:eastAsia="en-US" w:bidi="ar-SA"/>
        </w:rPr>
        <w:t xml:space="preserve"> </w:t>
      </w: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二级节点技术要求》（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AII/001—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三、总体架构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危险化学品企业安全风险智能化管控平台应按照工业互联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网平台架构进行设计，建立统一的标准与规范体系和安全运维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保障体系，保证平台规范、安全、稳定运行。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平台依托企业现有系统数据，通过接入企业实时监测、视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频监控、人员定位、设备状态、特殊作业等数据，实现安全管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理基础信息、重大危险源安全管理、双重预防机制、特殊作业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许可与作业过程管理、智能巡检、人员定位等基础功能的信息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化、数字化、网络化、智能化。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（一）平台建设基本要求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危险化学品企业安全风险智能化管控平台主体采用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B/S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KHWOIK+FangSong_GB2312" w:hAnsi="KHWOIK+FangSong_GB2312" w:eastAsiaTheme="minorEastAsia" w:cs="KHWOIK+FangSong_GB2312"/>
          <w:color w:val="000000"/>
          <w:sz w:val="32"/>
          <w:szCs w:val="22"/>
          <w:lang w:val="en-US" w:eastAsia="en-US" w:bidi="ar-SA"/>
        </w:rPr>
        <w:t>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HWOIK+FangSong_GB2312" w:hAnsi="KHWOIK+FangSong_GB2312" w:eastAsiaTheme="minorEastAsia" w:cs="KHWOIK+FangSong_GB2312"/>
          <w:color w:val="000000"/>
          <w:spacing w:val="-2"/>
          <w:sz w:val="32"/>
          <w:szCs w:val="22"/>
          <w:lang w:val="en-US" w:eastAsia="en-US" w:bidi="ar-SA"/>
        </w:rPr>
        <w:t>构，以及主流、开放的平台应用框架，满足可靠、集成、兼容、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3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6" w:name="br1_5"/>
      <w:bookmarkEnd w:id="6"/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可扩展、可维护、安全等性能要求，支撑企业安全风险管控的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信息化数字化应用需求，符合但不限于以下要求：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业务流程覆盖，支持实现本指南要求的基本功能；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功能模块化设计、中台化建设，各模块可单独使用；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-4"/>
          <w:sz w:val="32"/>
          <w:szCs w:val="22"/>
          <w:lang w:val="en-US" w:eastAsia="en-US" w:bidi="ar-SA"/>
        </w:rPr>
        <w:t>集成性，提供开放接口，便于与企业现有其他信息系统对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接集成；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-4"/>
          <w:sz w:val="32"/>
          <w:szCs w:val="22"/>
          <w:lang w:val="en-US" w:eastAsia="en-US" w:bidi="ar-SA"/>
        </w:rPr>
        <w:t>兼容性，注重融合企业现有系统，实现功能互补，数据互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联互通；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-4"/>
          <w:sz w:val="32"/>
          <w:szCs w:val="22"/>
          <w:lang w:val="en-US" w:eastAsia="en-US" w:bidi="ar-SA"/>
        </w:rPr>
        <w:t>可扩展性，企业根据自身建设要求，可以扩展创新应用和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场景；</w:t>
      </w:r>
    </w:p>
    <w:p>
      <w:pPr>
        <w:spacing w:before="186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支持跨平台、跨系统运行，支持电脑端和移动设备；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QSQBK+SymbolMT" w:hAnsi="OQSQBK+SymbolMT" w:eastAsiaTheme="minorEastAsia" w:cs="OQSQBK+SymbolMT"/>
          <w:color w:val="000000"/>
          <w:sz w:val="32"/>
          <w:szCs w:val="22"/>
          <w:lang w:val="en-US" w:eastAsia="en-US" w:bidi="ar-SA"/>
        </w:rPr>
        <w:sym w:font="OQSQBK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-4"/>
          <w:sz w:val="32"/>
          <w:szCs w:val="22"/>
          <w:lang w:val="en-US" w:eastAsia="en-US" w:bidi="ar-SA"/>
        </w:rPr>
        <w:t>数据标准化，规范各类信息资源元数据和编码规则，统一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数据处理机制。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（二）系统和网络架构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危险化学品企业安全风险智能化管控平台总体构架划分为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边缘层、网络层、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5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5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5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层六个层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次，以工业互联网标准为引领、工业互联网安全体系为保障，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依托数据流、信息流、业务流，实现企业安全生产全过程、全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z w:val="32"/>
          <w:szCs w:val="22"/>
          <w:lang w:val="en-US" w:eastAsia="en-US" w:bidi="ar-SA"/>
        </w:rPr>
        <w:t>要素的连接和优化，提升企业安全风险管控能力。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边缘层。边缘层通过对企业生产现场设备、移动终端设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备等网络化改造，或者加装网络化智能化监控设备，通过协议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转换、边缘计算等构建精准、实时、高效的海量工业数据采集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与分析体系，接入、转换、预处理、存储、分析数据，配置边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WJVRU+FangSong_GB2312" w:hAnsi="UWJVRU+FangSong_GB2312" w:eastAsiaTheme="minorEastAsia" w:cs="UWJVRU+FangSong_GB2312"/>
          <w:color w:val="000000"/>
          <w:spacing w:val="4"/>
          <w:sz w:val="32"/>
          <w:szCs w:val="22"/>
          <w:lang w:val="en-US" w:eastAsia="en-US" w:bidi="ar-SA"/>
        </w:rPr>
        <w:t>缘计算设备，合理布置算力和模型，可通过边缘容器支持快速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4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7" w:name="br1_6"/>
      <w:bookmarkEnd w:id="7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437.85pt;height:457.9pt;margin-top:145.2pt;margin-left:78.8pt;mso-position-horizontal-relative:page;mso-position-vertical-relative:page;position:absolute;z-index:-251658240">
            <v:imagedata r:id="rId4" o:title=""/>
          </v:shape>
        </w:pict>
      </w:r>
      <w:bookmarkStart w:id="8" w:name="br1_7"/>
      <w:bookmarkEnd w:id="8"/>
      <w:r>
        <w:rPr>
          <w:rFonts w:ascii="IGRPCA+FangSong_GB2312" w:hAnsi="IGRPCA+FangSong_GB2312" w:eastAsiaTheme="minorEastAsia" w:cs="IGRPCA+FangSong_GB2312"/>
          <w:color w:val="000000"/>
          <w:spacing w:val="4"/>
          <w:sz w:val="32"/>
          <w:szCs w:val="22"/>
          <w:lang w:val="en-US" w:eastAsia="en-US" w:bidi="ar-SA"/>
        </w:rPr>
        <w:t>便捷迭代，实时获知设备的运行状况和环境的准确变化，就近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GRPCA+FangSong_GB2312" w:hAnsi="IGRPCA+FangSong_GB2312" w:eastAsiaTheme="minorEastAsia" w:cs="IGRPCA+FangSong_GB2312"/>
          <w:color w:val="000000"/>
          <w:sz w:val="32"/>
          <w:szCs w:val="22"/>
          <w:lang w:val="en-US" w:eastAsia="en-US" w:bidi="ar-SA"/>
        </w:rPr>
        <w:t>提供边缘智能服务，掌握安全态势。</w:t>
      </w:r>
    </w:p>
    <w:p>
      <w:pPr>
        <w:spacing w:before="959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</w:t>
      </w:r>
      <w:r>
        <w:rPr>
          <w:rFonts w:ascii="IGRPCA+FangSong_GB2312" w:hAnsi="IGRPCA+FangSong_GB2312" w:eastAsiaTheme="minorEastAsia" w:cs="IGRPCA+FangSong_GB2312"/>
          <w:color w:val="000000"/>
          <w:sz w:val="32"/>
          <w:szCs w:val="22"/>
          <w:lang w:val="en-US" w:eastAsia="en-US" w:bidi="ar-SA"/>
        </w:rPr>
        <w:t>网络层。通过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F5G</w:t>
      </w:r>
      <w:r>
        <w:rPr>
          <w:rFonts w:ascii="IGRPCA+FangSong_GB2312" w:hAnsi="IGRPCA+FangSong_GB2312" w:eastAsiaTheme="minorEastAsia" w:cs="IGRPCA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5G</w:t>
      </w:r>
      <w:r>
        <w:rPr>
          <w:rFonts w:ascii="IGRPCA+FangSong_GB2312" w:hAnsi="IGRPCA+FangSong_GB2312" w:eastAsiaTheme="minorEastAsia" w:cs="IGRPCA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NB—IoT</w:t>
      </w:r>
      <w:r>
        <w:rPr>
          <w:rFonts w:ascii="IGRPCA+FangSong_GB2312" w:hAnsi="IGRPCA+FangSong_GB2312" w:eastAsiaTheme="minorEastAsia" w:cs="IGRPCA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LoRa</w:t>
      </w:r>
      <w:r>
        <w:rPr>
          <w:rFonts w:ascii="IGRPCA+FangSong_GB2312" w:hAnsi="IGRPCA+FangSong_GB2312" w:eastAsiaTheme="minorEastAsia" w:cs="IGRPCA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IPv6</w:t>
      </w:r>
      <w:r>
        <w:rPr>
          <w:rFonts w:ascii="IGRPCA+FangSong_GB2312" w:hAnsi="IGRPCA+FangSong_GB2312" w:eastAsiaTheme="minorEastAsia" w:cs="IGRPCA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WiFi6</w:t>
      </w:r>
      <w:r>
        <w:rPr>
          <w:rFonts w:ascii="IGRPCA+FangSong_GB2312" w:hAnsi="IGRPCA+FangSong_GB2312" w:eastAsiaTheme="minorEastAsia" w:cs="IGRPCA+FangSong_GB2312"/>
          <w:color w:val="000000"/>
          <w:sz w:val="32"/>
          <w:szCs w:val="22"/>
          <w:lang w:val="en-US" w:eastAsia="en-US" w:bidi="ar-SA"/>
        </w:rPr>
        <w:t>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TSN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IGRPCA+FangSong_GB2312" w:hAnsi="IGRPCA+FangSong_GB2312" w:eastAsiaTheme="minorEastAsia" w:cs="IGRPCA+FangSong_GB2312"/>
          <w:color w:val="000000"/>
          <w:spacing w:val="-6"/>
          <w:sz w:val="32"/>
          <w:szCs w:val="22"/>
          <w:lang w:val="en-US" w:eastAsia="en-US" w:bidi="ar-SA"/>
        </w:rPr>
        <w:t>等新一代通信技术在设备端和控制器端的应用，在保障安全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GRPCA+FangSong_GB2312" w:hAnsi="IGRPCA+FangSong_GB2312" w:eastAsiaTheme="minorEastAsia" w:cs="IGRPCA+FangSong_GB2312"/>
          <w:color w:val="000000"/>
          <w:spacing w:val="4"/>
          <w:sz w:val="32"/>
          <w:szCs w:val="22"/>
          <w:lang w:val="en-US" w:eastAsia="en-US" w:bidi="ar-SA"/>
        </w:rPr>
        <w:t>的前提下改造打通企业工业控制网、管理信息网和无线网，建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GRPCA+FangSong_GB2312" w:hAnsi="IGRPCA+FangSong_GB2312" w:eastAsiaTheme="minorEastAsia" w:cs="IGRPCA+FangSong_GB2312"/>
          <w:color w:val="000000"/>
          <w:sz w:val="32"/>
          <w:szCs w:val="22"/>
          <w:lang w:val="en-US" w:eastAsia="en-US" w:bidi="ar-SA"/>
        </w:rPr>
        <w:t>设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IT—OT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IGRPCA+FangSong_GB2312" w:hAnsi="IGRPCA+FangSong_GB2312" w:eastAsiaTheme="minorEastAsia" w:cs="IGRPCA+FangSong_GB2312"/>
          <w:color w:val="000000"/>
          <w:spacing w:val="-3"/>
          <w:sz w:val="32"/>
          <w:szCs w:val="22"/>
          <w:lang w:val="en-US" w:eastAsia="en-US" w:bidi="ar-SA"/>
        </w:rPr>
        <w:t>融合网络，以地理空间为参考系，帮助企业建立覆盖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GRPCA+FangSong_GB2312" w:hAnsi="IGRPCA+FangSong_GB2312" w:eastAsiaTheme="minorEastAsia" w:cs="IGRPCA+FangSong_GB2312"/>
          <w:color w:val="000000"/>
          <w:spacing w:val="-3"/>
          <w:sz w:val="32"/>
          <w:szCs w:val="22"/>
          <w:lang w:val="en-US" w:eastAsia="en-US" w:bidi="ar-SA"/>
        </w:rPr>
        <w:t>范围更广、连接更多、带宽更大的基础网络，应用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IPv6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IGRPCA+FangSong_GB2312" w:hAnsi="IGRPCA+FangSong_GB2312" w:eastAsiaTheme="minorEastAsia" w:cs="IGRPCA+FangSong_GB2312"/>
          <w:color w:val="000000"/>
          <w:sz w:val="32"/>
          <w:szCs w:val="22"/>
          <w:lang w:val="en-US" w:eastAsia="en-US" w:bidi="ar-SA"/>
        </w:rPr>
        <w:t>等新一</w:t>
      </w:r>
    </w:p>
    <w:p>
      <w:pPr>
        <w:spacing w:before="460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5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9" w:name="br1_8"/>
      <w:bookmarkEnd w:id="9"/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代通信协议，实现对海量过程数据的采集、传输、分析。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3.IaaS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</w:t>
      </w:r>
      <w:r>
        <w:rPr>
          <w:rFonts w:hAnsi="Calibri" w:eastAsiaTheme="minorEastAsia" w:cstheme="minorBidi"/>
          <w:color w:val="000000"/>
          <w:spacing w:val="-78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层作为危险化学品企业安全风险智能化管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控平台的低层，通过计算、网络、存储等资源的虚拟化，实现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信息基础设施的资源池化。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层提供所有计算需要的基础设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6"/>
          <w:sz w:val="32"/>
          <w:szCs w:val="22"/>
          <w:lang w:val="en-US" w:eastAsia="en-US" w:bidi="ar-SA"/>
        </w:rPr>
        <w:t>施，包括处理</w:t>
      </w:r>
      <w:r>
        <w:rPr>
          <w:rFonts w:hAnsi="Calibri" w:eastAsiaTheme="minorEastAsia" w:cstheme="minorBidi"/>
          <w:color w:val="000000"/>
          <w:spacing w:val="7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CPU</w:t>
      </w:r>
      <w:r>
        <w:rPr>
          <w:rFonts w:ascii="QJMPDL+FangSong_GB2312" w:hAnsi="QJMPDL+FangSong_GB2312" w:eastAsiaTheme="minorEastAsia" w:cs="QJMPDL+FangSong_GB2312"/>
          <w:color w:val="000000"/>
          <w:spacing w:val="-6"/>
          <w:sz w:val="32"/>
          <w:szCs w:val="22"/>
          <w:lang w:val="en-US" w:eastAsia="en-US" w:bidi="ar-SA"/>
        </w:rPr>
        <w:t>、内存、存储、网络和其它基本的计算硬件资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8"/>
          <w:sz w:val="32"/>
          <w:szCs w:val="22"/>
          <w:lang w:val="en-US" w:eastAsia="en-US" w:bidi="ar-SA"/>
        </w:rPr>
        <w:t>源，根据</w:t>
      </w:r>
      <w:r>
        <w:rPr>
          <w:rFonts w:hAnsi="Calibri" w:eastAsiaTheme="minorEastAsia" w:cstheme="minorBidi"/>
          <w:color w:val="000000"/>
          <w:spacing w:val="9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pacing w:val="-2"/>
          <w:sz w:val="32"/>
          <w:szCs w:val="22"/>
          <w:lang w:val="en-US" w:eastAsia="en-US" w:bidi="ar-SA"/>
        </w:rPr>
        <w:t>层的运算需要部署和运行相应的软件，包括操作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系统和应用程序等。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4.DaaS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</w:t>
      </w:r>
      <w:r>
        <w:rPr>
          <w:rFonts w:hAnsi="Calibri" w:eastAsiaTheme="minorEastAsia" w:cstheme="minorBidi"/>
          <w:color w:val="000000"/>
          <w:spacing w:val="-78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层通过对各类数据信息进一步加工形成信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2"/>
          <w:sz w:val="32"/>
          <w:szCs w:val="22"/>
          <w:lang w:val="en-US" w:eastAsia="en-US" w:bidi="ar-SA"/>
        </w:rPr>
        <w:t>息组合应用，通过汇聚、整合、清洗和处理等进一步盘活数据，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2"/>
          <w:sz w:val="32"/>
          <w:szCs w:val="22"/>
          <w:lang w:val="en-US" w:eastAsia="en-US" w:bidi="ar-SA"/>
        </w:rPr>
        <w:t>提高数据质量，提升数据价值。通过数据中台建设数据资源池，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对基础数据信息块以不同的方式进行组装，满足各类应用的需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要。通过对数据聚合抽象，把数据转换成通用信息，对外提供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数据服务。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5.PaaS</w:t>
      </w:r>
      <w:r>
        <w:rPr>
          <w:rFonts w:hAnsi="Calibri" w:eastAsiaTheme="minorEastAsia" w:cstheme="minorBidi"/>
          <w:color w:val="000000"/>
          <w:spacing w:val="-17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-17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层以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搭积木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的方式提供工业</w:t>
      </w:r>
      <w:r>
        <w:rPr>
          <w:rFonts w:hAnsi="Calibri" w:eastAsiaTheme="minorEastAsia" w:cstheme="minorBidi"/>
          <w:color w:val="000000"/>
          <w:spacing w:val="-16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APP</w:t>
      </w:r>
      <w:r>
        <w:rPr>
          <w:rFonts w:hAnsi="Calibri" w:eastAsiaTheme="minorEastAsia" w:cstheme="minorBidi"/>
          <w:color w:val="000000"/>
          <w:spacing w:val="-16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创建、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测试和部署的开发环境，向下调用设备、业务系统等软硬件资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源，向上承载工业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APP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等应用服务。危险化学品企业安全风险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智能化管控平台的</w:t>
      </w:r>
      <w:r>
        <w:rPr>
          <w:rFonts w:hAnsi="Calibri" w:eastAsiaTheme="minorEastAsia" w:cstheme="minorBidi"/>
          <w:color w:val="000000"/>
          <w:spacing w:val="-1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-12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层利用</w:t>
      </w:r>
      <w:r>
        <w:rPr>
          <w:rFonts w:hAnsi="Calibri" w:eastAsiaTheme="minorEastAsia" w:cstheme="minorBidi"/>
          <w:color w:val="000000"/>
          <w:spacing w:val="-1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-10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pacing w:val="-1"/>
          <w:sz w:val="32"/>
          <w:szCs w:val="22"/>
          <w:lang w:val="en-US" w:eastAsia="en-US" w:bidi="ar-SA"/>
        </w:rPr>
        <w:t>层和</w:t>
      </w:r>
      <w:r>
        <w:rPr>
          <w:rFonts w:hAnsi="Calibri" w:eastAsiaTheme="minorEastAsia" w:cstheme="minorBidi"/>
          <w:color w:val="000000"/>
          <w:spacing w:val="-1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-12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层的数据处理能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力，对通过边缘层采集和网络层传输与汇聚的各类安全相关的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数据，如设备数据、工艺与作业数据、异常环境数据、安全管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理数据、人员位置数据、物料数据、标识数据等，进行统一调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度和应用。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层对边缘层、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层产生的海量数据进行高质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4"/>
          <w:sz w:val="32"/>
          <w:szCs w:val="22"/>
          <w:lang w:val="en-US" w:eastAsia="en-US" w:bidi="ar-SA"/>
        </w:rPr>
        <w:t>量存储与管理，通过数据建模、分析、可视化等技术，结合生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2"/>
          <w:sz w:val="32"/>
          <w:szCs w:val="22"/>
          <w:lang w:val="en-US" w:eastAsia="en-US" w:bidi="ar-SA"/>
        </w:rPr>
        <w:t>产、运输、销售、使用过程中的实际数据与工业生产实践经验，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MPDL+FangSong_GB2312" w:hAnsi="QJMPDL+FangSong_GB2312" w:eastAsiaTheme="minorEastAsia" w:cs="QJMPDL+FangSong_GB2312"/>
          <w:color w:val="000000"/>
          <w:spacing w:val="-4"/>
          <w:sz w:val="32"/>
          <w:szCs w:val="22"/>
          <w:lang w:val="en-US" w:eastAsia="en-US" w:bidi="ar-SA"/>
        </w:rPr>
        <w:t>构建行业机理模型和数据驱动模型，支撑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QJMPDL+FangSong_GB2312" w:hAnsi="QJMPDL+FangSong_GB2312" w:eastAsiaTheme="minorEastAsia" w:cs="QJMPDL+FangSong_GB2312"/>
          <w:color w:val="000000"/>
          <w:sz w:val="32"/>
          <w:szCs w:val="22"/>
          <w:lang w:val="en-US" w:eastAsia="en-US" w:bidi="ar-SA"/>
        </w:rPr>
        <w:t>层各种分析应用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6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0" w:name="br1_9"/>
      <w:bookmarkEnd w:id="10"/>
      <w:r>
        <w:rPr>
          <w:noProof/>
        </w:rPr>
        <w:pict>
          <v:shape id="_x0000_s1026" type="#_x0000_t75" style="width:431.35pt;height:206.5pt;margin-top:423.5pt;margin-left:80.95pt;mso-position-horizontal-relative:page;mso-position-vertical-relative:page;position:absolute;z-index:-251657216">
            <v:imagedata r:id="rId5" o:title=""/>
          </v:shape>
        </w:pict>
      </w:r>
      <w:bookmarkStart w:id="11" w:name="br1_10"/>
      <w:bookmarkEnd w:id="11"/>
      <w:r>
        <w:rPr>
          <w:rFonts w:ascii="OGAATP+FangSong_GB2312" w:hAnsi="OGAATP+FangSong_GB2312" w:eastAsiaTheme="minorEastAsia" w:cs="OGAATP+FangSong_GB2312"/>
          <w:color w:val="000000"/>
          <w:spacing w:val="7"/>
          <w:sz w:val="32"/>
          <w:szCs w:val="22"/>
          <w:lang w:val="en-US" w:eastAsia="en-US" w:bidi="ar-SA"/>
        </w:rPr>
        <w:t>的实现。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7"/>
          <w:sz w:val="32"/>
          <w:szCs w:val="22"/>
          <w:lang w:val="en-US" w:eastAsia="en-US" w:bidi="ar-SA"/>
        </w:rPr>
        <w:t>层通过构建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AI</w:t>
      </w:r>
      <w:r>
        <w:rPr>
          <w:rFonts w:hAnsi="Calibri" w:eastAsiaTheme="minorEastAsia" w:cstheme="minorBidi"/>
          <w:color w:val="000000"/>
          <w:spacing w:val="11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7"/>
          <w:sz w:val="32"/>
          <w:szCs w:val="22"/>
          <w:lang w:val="en-US" w:eastAsia="en-US" w:bidi="ar-SA"/>
        </w:rPr>
        <w:t>能力引擎和机器学习模型，提供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AI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服务。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6.SaaS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5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5"/>
          <w:sz w:val="32"/>
          <w:szCs w:val="22"/>
          <w:lang w:val="en-US" w:eastAsia="en-US" w:bidi="ar-SA"/>
        </w:rPr>
        <w:t>层是通过调用和封装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5"/>
          <w:sz w:val="32"/>
          <w:szCs w:val="22"/>
          <w:lang w:val="en-US" w:eastAsia="en-US" w:bidi="ar-SA"/>
        </w:rPr>
        <w:t>层平台上的开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发工具、行业机理模型、数据驱动模型等服务开发形成的应用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服务。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层利用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-4"/>
          <w:sz w:val="32"/>
          <w:szCs w:val="22"/>
          <w:lang w:val="en-US" w:eastAsia="en-US" w:bidi="ar-SA"/>
        </w:rPr>
        <w:t>层积累沉淀的各类型数据模型，以工业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微服务为基础，对危险化学品企业全流程各环节打造定制化、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高可靠、可扩展的应用。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危险化学品企业安全风险智能化管控平台采集设备数据、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传感器数据、视频数据等，结合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ERP</w:t>
      </w:r>
      <w:r>
        <w:rPr>
          <w:rFonts w:ascii="OGAATP+FangSong_GB2312" w:hAnsi="OGAATP+FangSong_GB2312" w:eastAsiaTheme="minorEastAsia" w:cs="OGAATP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MES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等业务系统的生产、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运输、储存各环节实际业务数据和业务流程，实现企业安全生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产全过程管理，并开放接口，与化工园区平台对接集成，提升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z w:val="32"/>
          <w:szCs w:val="22"/>
          <w:lang w:val="en-US" w:eastAsia="en-US" w:bidi="ar-SA"/>
        </w:rPr>
        <w:t>跨层级的安全生产联动联控能力，如下图所示：</w:t>
      </w:r>
    </w:p>
    <w:p>
      <w:pPr>
        <w:spacing w:before="4409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危险化学品企业安全风险智能化管控平台与部署于车间或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工厂侧的边缘平台通过专网的方式互联，实现云边协同；车间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或工厂侧接入设备或传感器的方式可分为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和非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两种组网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GAATP+FangSong_GB2312" w:hAnsi="OGAATP+FangSong_GB2312" w:eastAsiaTheme="minorEastAsia" w:cs="OGAATP+FangSong_GB2312"/>
          <w:color w:val="000000"/>
          <w:spacing w:val="4"/>
          <w:sz w:val="32"/>
          <w:szCs w:val="22"/>
          <w:lang w:val="en-US" w:eastAsia="en-US" w:bidi="ar-SA"/>
        </w:rPr>
        <w:t>方式。危险化学品企业安全风险智能化管控平台网络拓扑如下</w:t>
      </w:r>
    </w:p>
    <w:p>
      <w:pPr>
        <w:spacing w:before="602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7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2" w:name="br1_11"/>
      <w:bookmarkEnd w:id="12"/>
      <w:r>
        <w:rPr>
          <w:noProof/>
        </w:rPr>
        <w:pict>
          <v:shape id="_x0000_s1027" type="#_x0000_t75" style="width:418.15pt;height:290pt;margin-top:111.15pt;margin-left:88.5pt;mso-position-horizontal-relative:page;mso-position-vertical-relative:page;position:absolute;z-index:-251656192">
            <v:imagedata r:id="rId6" o:title=""/>
          </v:shape>
        </w:pict>
      </w:r>
      <w:bookmarkStart w:id="13" w:name="br1_12"/>
      <w:bookmarkEnd w:id="13"/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图所示：</w:t>
      </w:r>
    </w:p>
    <w:p>
      <w:pPr>
        <w:spacing w:before="599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（三）数据体系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pacing w:val="4"/>
          <w:sz w:val="32"/>
          <w:szCs w:val="22"/>
          <w:lang w:val="en-US" w:eastAsia="en-US" w:bidi="ar-SA"/>
        </w:rPr>
        <w:t>搭建危险化学品企业安全风险智能化管控平台数据体系，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pacing w:val="4"/>
          <w:sz w:val="32"/>
          <w:szCs w:val="22"/>
          <w:lang w:val="en-US" w:eastAsia="en-US" w:bidi="ar-SA"/>
        </w:rPr>
        <w:t>制定企业数据采集以及工业互联网标识标准，持续开展数据治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pacing w:val="4"/>
          <w:sz w:val="32"/>
          <w:szCs w:val="22"/>
          <w:lang w:val="en-US" w:eastAsia="en-US" w:bidi="ar-SA"/>
        </w:rPr>
        <w:t>理工作，确保数据的完整性和一致性。数据治理体系建设应符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合但不限于以下要求：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HFBSVA+SymbolMT" w:hAnsi="HFBSVA+SymbolMT" w:eastAsiaTheme="minorEastAsia" w:cs="HFBSVA+SymbolMT"/>
          <w:color w:val="000000"/>
          <w:sz w:val="32"/>
          <w:szCs w:val="22"/>
          <w:lang w:val="en-US" w:eastAsia="en-US" w:bidi="ar-SA"/>
        </w:rPr>
        <w:sym w:font="HFBSVA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完善数据标准规范体系，编制应用数据采集标准；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HFBSVA+SymbolMT" w:hAnsi="HFBSVA+SymbolMT" w:eastAsiaTheme="minorEastAsia" w:cs="HFBSVA+SymbolMT"/>
          <w:color w:val="000000"/>
          <w:sz w:val="32"/>
          <w:szCs w:val="22"/>
          <w:lang w:val="en-US" w:eastAsia="en-US" w:bidi="ar-SA"/>
        </w:rPr>
        <w:sym w:font="HFBSVA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统一数据交换共享规则，编辑数据交换接口规范；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HFBSVA+SymbolMT" w:hAnsi="HFBSVA+SymbolMT" w:eastAsiaTheme="minorEastAsia" w:cs="HFBSVA+SymbolMT"/>
          <w:color w:val="000000"/>
          <w:sz w:val="32"/>
          <w:szCs w:val="22"/>
          <w:lang w:val="en-US" w:eastAsia="en-US" w:bidi="ar-SA"/>
        </w:rPr>
        <w:sym w:font="HFBSVA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NUOASM+FangSong_GB2312" w:hAnsi="NUOASM+FangSong_GB2312" w:eastAsiaTheme="minorEastAsia" w:cs="NUOASM+FangSong_GB2312"/>
          <w:color w:val="000000"/>
          <w:spacing w:val="-4"/>
          <w:sz w:val="32"/>
          <w:szCs w:val="22"/>
          <w:lang w:val="en-US" w:eastAsia="en-US" w:bidi="ar-SA"/>
        </w:rPr>
        <w:t>支持以数据服务的形式封装数据，提供统一的数据开发共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享能力；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HFBSVA+SymbolMT" w:hAnsi="HFBSVA+SymbolMT" w:eastAsiaTheme="minorEastAsia" w:cs="HFBSVA+SymbolMT"/>
          <w:color w:val="000000"/>
          <w:sz w:val="32"/>
          <w:szCs w:val="22"/>
          <w:lang w:val="en-US" w:eastAsia="en-US" w:bidi="ar-SA"/>
        </w:rPr>
        <w:sym w:font="HFBSVA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NUOASM+FangSong_GB2312" w:hAnsi="NUOASM+FangSong_GB2312" w:eastAsiaTheme="minorEastAsia" w:cs="NUOASM+FangSong_GB2312"/>
          <w:color w:val="000000"/>
          <w:spacing w:val="-4"/>
          <w:sz w:val="32"/>
          <w:szCs w:val="22"/>
          <w:lang w:val="en-US" w:eastAsia="en-US" w:bidi="ar-SA"/>
        </w:rPr>
        <w:t>结合国家工业互联网标识标准和企业实际情况，制定企业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互联网标识解析规范；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HFBSVA+SymbolMT" w:hAnsi="HFBSVA+SymbolMT" w:eastAsiaTheme="minorEastAsia" w:cs="HFBSVA+SymbolMT"/>
          <w:color w:val="000000"/>
          <w:sz w:val="32"/>
          <w:szCs w:val="22"/>
          <w:lang w:val="en-US" w:eastAsia="en-US" w:bidi="ar-SA"/>
        </w:rPr>
        <w:sym w:font="HFBSVA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NUOASM+FangSong_GB2312" w:hAnsi="NUOASM+FangSong_GB2312" w:eastAsiaTheme="minorEastAsia" w:cs="NUOASM+FangSong_GB2312"/>
          <w:color w:val="000000"/>
          <w:spacing w:val="-4"/>
          <w:sz w:val="32"/>
          <w:szCs w:val="22"/>
          <w:lang w:val="en-US" w:eastAsia="en-US" w:bidi="ar-SA"/>
        </w:rPr>
        <w:t>提高数据挖掘和分析功能，以物联网数据为依托，为企业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UOASM+FangSong_GB2312" w:hAnsi="NUOASM+FangSong_GB2312" w:eastAsiaTheme="minorEastAsia" w:cs="NUOASM+FangSong_GB2312"/>
          <w:color w:val="000000"/>
          <w:sz w:val="32"/>
          <w:szCs w:val="22"/>
          <w:lang w:val="en-US" w:eastAsia="en-US" w:bidi="ar-SA"/>
        </w:rPr>
        <w:t>安全生产管理提供决策辅助；</w:t>
      </w:r>
    </w:p>
    <w:p>
      <w:pPr>
        <w:spacing w:before="141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8</w:t>
      </w:r>
    </w:p>
    <w:p>
      <w:pPr>
        <w:spacing w:before="0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4" w:name="br1_13"/>
      <w:bookmarkEnd w:id="14"/>
      <w:r>
        <w:rPr>
          <w:rFonts w:ascii="FLUKUF+SymbolMT" w:hAnsi="FLUKUF+SymbolMT" w:eastAsiaTheme="minorEastAsia" w:cs="FLUKUF+SymbolMT"/>
          <w:color w:val="000000"/>
          <w:sz w:val="32"/>
          <w:szCs w:val="22"/>
          <w:lang w:val="en-US" w:eastAsia="en-US" w:bidi="ar-SA"/>
        </w:rPr>
        <w:sym w:font="FLUKUF+SymbolMT" w:char="F0B7"/>
      </w:r>
      <w:bookmarkStart w:id="15" w:name="br1_14"/>
      <w:bookmarkEnd w:id="15"/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DESABL+FangSong_GB2312" w:hAnsi="DESABL+FangSong_GB2312" w:eastAsiaTheme="minorEastAsia" w:cs="DESABL+FangSong_GB2312"/>
          <w:color w:val="000000"/>
          <w:spacing w:val="-4"/>
          <w:sz w:val="32"/>
          <w:szCs w:val="22"/>
          <w:lang w:val="en-US" w:eastAsia="en-US" w:bidi="ar-SA"/>
        </w:rPr>
        <w:t>使用专业的数据抽取、清洗、整合工具，开展数据清洗处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理、补充完善、质量检查等数据治理工作，确保数据的完整性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z w:val="32"/>
          <w:szCs w:val="22"/>
          <w:lang w:val="en-US" w:eastAsia="en-US" w:bidi="ar-SA"/>
        </w:rPr>
        <w:t>和一致性；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LUKUF+SymbolMT" w:hAnsi="FLUKUF+SymbolMT" w:eastAsiaTheme="minorEastAsia" w:cs="FLUKUF+SymbolMT"/>
          <w:color w:val="000000"/>
          <w:sz w:val="32"/>
          <w:szCs w:val="22"/>
          <w:lang w:val="en-US" w:eastAsia="en-US" w:bidi="ar-SA"/>
        </w:rPr>
        <w:sym w:font="FLUKUF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DESABL+FangSong_GB2312" w:hAnsi="DESABL+FangSong_GB2312" w:eastAsiaTheme="minorEastAsia" w:cs="DESABL+FangSong_GB2312"/>
          <w:color w:val="000000"/>
          <w:spacing w:val="-4"/>
          <w:sz w:val="32"/>
          <w:szCs w:val="22"/>
          <w:lang w:val="en-US" w:eastAsia="en-US" w:bidi="ar-SA"/>
        </w:rPr>
        <w:t>统一资源目录管理，支持统一的元数据管理，包括元数据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的模型设计、模型审核、模型发布、模型变更，以及模型版本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z w:val="32"/>
          <w:szCs w:val="22"/>
          <w:lang w:val="en-US" w:eastAsia="en-US" w:bidi="ar-SA"/>
        </w:rPr>
        <w:t>管理、关系管理等。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（四）系统安全体系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系统安全体系是危险化学品企业安全风险智能化管控平台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安全可信运行的基本保障。全面考虑物理环境安全、网络和通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信安全、边界安全、终端安全、云安全、应用系统安全、数据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安全、装置及设备安全、处置恢复安全等重点安全防护对象及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z w:val="32"/>
          <w:szCs w:val="22"/>
          <w:lang w:val="en-US" w:eastAsia="en-US" w:bidi="ar-SA"/>
        </w:rPr>
        <w:t>场景，提供安全保障软硬件配套设施及服务。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通过固件安全增强、漏洞修复加固、补丁升级管理、安全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监测审计、加强认证授权、部署分布式拒绝服务（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DDoS</w:t>
      </w: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）防御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体系、工业应用程序安全、主机入侵监测防护、漏洞扫描、资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源访问控制、信息完整性保护等安全措施，保障核心数据的安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全流转和平台的正常运行，对物理、网络、系统、应用、数据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及用户安全等实现可管可控，打造满足企业安全管理需求的安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全技术体系和安全管理机制，实现网络安全与物理安全的真正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z w:val="32"/>
          <w:szCs w:val="22"/>
          <w:lang w:val="en-US" w:eastAsia="en-US" w:bidi="ar-SA"/>
        </w:rPr>
        <w:t>融合。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加强工控系统安全防护，清晰划分网络安全区域边界，建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立健全隔离措施，采用深度解析工控通讯协议的异常监测、网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pacing w:val="4"/>
          <w:sz w:val="32"/>
          <w:szCs w:val="22"/>
          <w:lang w:val="en-US" w:eastAsia="en-US" w:bidi="ar-SA"/>
        </w:rPr>
        <w:t>络审计等手段，实现工控系统通讯网络安全，加固工控主机安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ESABL+FangSong_GB2312" w:hAnsi="DESABL+FangSong_GB2312" w:eastAsiaTheme="minorEastAsia" w:cs="DESABL+FangSong_GB2312"/>
          <w:color w:val="000000"/>
          <w:sz w:val="32"/>
          <w:szCs w:val="22"/>
          <w:lang w:val="en-US" w:eastAsia="en-US" w:bidi="ar-SA"/>
        </w:rPr>
        <w:t>全，全面提高工控系统的综合安全防护能力。</w:t>
      </w:r>
    </w:p>
    <w:p>
      <w:pPr>
        <w:spacing w:before="299" w:after="0" w:line="190" w:lineRule="exact"/>
        <w:ind w:left="432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10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9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6" w:name="br1_15"/>
      <w:bookmarkEnd w:id="16"/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四、系统功能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（一）安全管理基础信息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企业的安全管理基础信息包括但不限于以下内容：安全生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产许可相关证照和有关报告信息、生产过程基础信息、设备设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-2"/>
          <w:sz w:val="32"/>
          <w:szCs w:val="22"/>
          <w:lang w:val="en-US" w:eastAsia="en-US" w:bidi="ar-SA"/>
        </w:rPr>
        <w:t>施基础信息、企业人员基础信息、第三方人员基础信息管理等。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16"/>
          <w:sz w:val="32"/>
          <w:szCs w:val="22"/>
          <w:lang w:val="en-US" w:eastAsia="en-US" w:bidi="ar-SA"/>
        </w:rPr>
        <w:t>企业平台的安全管理基础信息一方面作为园区平台的数据来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z w:val="32"/>
          <w:szCs w:val="22"/>
          <w:lang w:val="en-US" w:eastAsia="en-US" w:bidi="ar-SA"/>
        </w:rPr>
        <w:t>源，另一方面也是以信息化促进企业数字化、智能化升级。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安全生产许可相关证照和有关报告信息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实现危险化学品安全生产许可证、危险化学品登记证、安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3"/>
          <w:sz w:val="32"/>
          <w:szCs w:val="22"/>
          <w:lang w:val="en-US" w:eastAsia="en-US" w:bidi="ar-SA"/>
        </w:rPr>
        <w:t>全生产标准化证书、安全评价报告、安全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三同时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NOQBAG+FangSong_GB2312" w:hAnsi="NOQBAG+FangSong_GB2312" w:eastAsiaTheme="minorEastAsia" w:cs="NOQBAG+FangSong_GB2312"/>
          <w:color w:val="000000"/>
          <w:spacing w:val="3"/>
          <w:sz w:val="32"/>
          <w:szCs w:val="22"/>
          <w:lang w:val="en-US" w:eastAsia="en-US" w:bidi="ar-SA"/>
        </w:rPr>
        <w:t>等相关材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料按统一格式录入信息和定期更新。支持相关证照到期自动提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z w:val="32"/>
          <w:szCs w:val="22"/>
          <w:lang w:val="en-US" w:eastAsia="en-US" w:bidi="ar-SA"/>
        </w:rPr>
        <w:t>醒、安全材料关键信息缺失自动核验，以及与园区平台互通。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生产过程基础信息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建立生产过程基础信息电子档案及线上管理流程，包括但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1"/>
          <w:sz w:val="32"/>
          <w:szCs w:val="22"/>
          <w:lang w:val="en-US" w:eastAsia="en-US" w:bidi="ar-SA"/>
        </w:rPr>
        <w:t>不限于危险工艺名称、反应类型、涉及的危险化学品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MSDS</w:t>
      </w:r>
      <w:r>
        <w:rPr>
          <w:rFonts w:ascii="NOQBAG+FangSong_GB2312" w:hAnsi="NOQBAG+FangSong_GB2312" w:eastAsiaTheme="minorEastAsia" w:cs="NOQBAG+FangSong_GB2312"/>
          <w:color w:val="000000"/>
          <w:spacing w:val="2"/>
          <w:sz w:val="32"/>
          <w:szCs w:val="22"/>
          <w:lang w:val="en-US" w:eastAsia="en-US" w:bidi="ar-SA"/>
        </w:rPr>
        <w:t>、重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大危险源、重点监控单元、工艺简介、工艺危险特点、重点监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控工艺参数指标、现有安全控制手段、开停车信息等。支持与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危险化学品登记信息管理系统、化学品安全信息检索系统数据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z w:val="32"/>
          <w:szCs w:val="22"/>
          <w:lang w:val="en-US" w:eastAsia="en-US" w:bidi="ar-SA"/>
        </w:rPr>
        <w:t>对接，以及与园区平台互通。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设备设施基础信息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z w:val="32"/>
          <w:szCs w:val="22"/>
          <w:lang w:val="en-US" w:eastAsia="en-US" w:bidi="ar-SA"/>
        </w:rPr>
        <w:t>建立特种设备和安全设施电子档案及线上管理流程，</w:t>
      </w:r>
      <w:r>
        <w:rPr>
          <w:rFonts w:hAnsi="Calibri" w:eastAsiaTheme="minorEastAsia" w:cstheme="minorBidi"/>
          <w:color w:val="000000"/>
          <w:spacing w:val="13"/>
          <w:sz w:val="32"/>
          <w:szCs w:val="22"/>
          <w:lang w:val="en-US" w:eastAsia="en-US" w:bidi="ar-SA"/>
        </w:rPr>
        <w:t xml:space="preserve"> </w:t>
      </w:r>
      <w:r>
        <w:rPr>
          <w:rFonts w:ascii="NOQBAG+FangSong_GB2312" w:hAnsi="NOQBAG+FangSong_GB2312" w:eastAsiaTheme="minorEastAsia" w:cs="NOQBAG+FangSong_GB2312"/>
          <w:color w:val="000000"/>
          <w:spacing w:val="-1"/>
          <w:sz w:val="32"/>
          <w:szCs w:val="22"/>
          <w:lang w:val="en-US" w:eastAsia="en-US" w:bidi="ar-SA"/>
        </w:rPr>
        <w:t>包括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但不限于特种设备清单及定期检测记录、登记注册表、安全阀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pacing w:val="4"/>
          <w:sz w:val="32"/>
          <w:szCs w:val="22"/>
          <w:lang w:val="en-US" w:eastAsia="en-US" w:bidi="ar-SA"/>
        </w:rPr>
        <w:t>清单及定期校验记录、爆破片清单及更换记录、安全仪表联锁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OQBAG+FangSong_GB2312" w:hAnsi="NOQBAG+FangSong_GB2312" w:eastAsiaTheme="minorEastAsia" w:cs="NOQBAG+FangSong_GB2312"/>
          <w:color w:val="000000"/>
          <w:sz w:val="32"/>
          <w:szCs w:val="22"/>
          <w:lang w:val="en-US" w:eastAsia="en-US" w:bidi="ar-SA"/>
        </w:rPr>
        <w:t>清单等。支持安全阀临期校验、爆破片临期更换等提醒。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10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7" w:name="br1_16"/>
      <w:bookmarkEnd w:id="17"/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企业人员基础信息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建立企业人员基础信息电子档案及线上管理流程，包括但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不限于主要负责人、分管安全负责人、企业在册从业人数、专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职安全人员人数、注册安全工程师人数、姓名及证号、特种作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业人数、值班值守等，支持相关人员从业证书、安全培训临期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提示。支持从业人员学历、专职安全人员人数、注册安全工程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z w:val="32"/>
          <w:szCs w:val="22"/>
          <w:lang w:val="en-US" w:eastAsia="en-US" w:bidi="ar-SA"/>
        </w:rPr>
        <w:t>师人数的合规性自诊断，与园区平台数据对接。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第三方人员基础信息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建立企业第三方人员基础信息电子档案及线上管理流程，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包括但不限于承包商、供应商、临时访客等第三方外来人员；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具备作业人员证书、外来人员证书管理等功能。支持与特殊作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z w:val="32"/>
          <w:szCs w:val="22"/>
          <w:lang w:val="en-US" w:eastAsia="en-US" w:bidi="ar-SA"/>
        </w:rPr>
        <w:t>业模块、人员定位模块功能联动。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（二）重大危险源安全管理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主要用于危险化学品重大危险源安全包保责任落实、在线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-4"/>
          <w:sz w:val="32"/>
          <w:szCs w:val="22"/>
          <w:lang w:val="en-US" w:eastAsia="en-US" w:bidi="ar-SA"/>
        </w:rPr>
        <w:t>监测预警、风险管控、评价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QJCIIE+FangSong_GB2312" w:hAnsi="QJCIIE+FangSong_GB2312" w:eastAsiaTheme="minorEastAsia" w:cs="QJCIIE+FangSong_GB2312"/>
          <w:color w:val="000000"/>
          <w:spacing w:val="-2"/>
          <w:sz w:val="32"/>
          <w:szCs w:val="22"/>
          <w:lang w:val="en-US" w:eastAsia="en-US" w:bidi="ar-SA"/>
        </w:rPr>
        <w:t>评估报告管理及隐患管理等。功能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实现应与全国危险化学品安全生产风险监测预警系统进行数据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z w:val="32"/>
          <w:szCs w:val="22"/>
          <w:lang w:val="en-US" w:eastAsia="en-US" w:bidi="ar-SA"/>
        </w:rPr>
        <w:t>对接融合。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重大危险源安全包保责任落实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实现重大危险源主要负责人、技术负责人、操作负责人的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安全包保履职结构化电子记录，做到可查询、可追溯。支持企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4"/>
          <w:sz w:val="32"/>
          <w:szCs w:val="22"/>
          <w:lang w:val="en-US" w:eastAsia="en-US" w:bidi="ar-SA"/>
        </w:rPr>
        <w:t>业的安全管理机构对包保责任人履职情况进行在线考核，定期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z w:val="32"/>
          <w:szCs w:val="22"/>
          <w:lang w:val="en-US" w:eastAsia="en-US" w:bidi="ar-SA"/>
        </w:rPr>
        <w:t>自动生成考核报告。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在线监测预警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JCIIE+FangSong_GB2312" w:hAnsi="QJCIIE+FangSong_GB2312" w:eastAsiaTheme="minorEastAsia" w:cs="QJCIIE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QJCIIE+FangSong_GB2312" w:hAnsi="QJCIIE+FangSong_GB2312" w:eastAsiaTheme="minorEastAsia" w:cs="QJCIIE+FangSong_GB2312"/>
          <w:color w:val="000000"/>
          <w:sz w:val="32"/>
          <w:szCs w:val="22"/>
          <w:lang w:val="en-US" w:eastAsia="en-US" w:bidi="ar-SA"/>
        </w:rPr>
        <w:t>）实时监测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11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8" w:name="br1_17"/>
      <w:bookmarkEnd w:id="18"/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汇聚现有储罐、装置、危险化学品库等的液位、温度、压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力和可燃有毒气体浓度的实时监测数据、报警数据，支持信息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-2"/>
          <w:sz w:val="32"/>
          <w:szCs w:val="22"/>
          <w:lang w:val="en-US" w:eastAsia="en-US" w:bidi="ar-SA"/>
        </w:rPr>
        <w:t>查询、历史数据查询、多维度对比、统计分析，实现报警监控、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报警管理、运行监控、报警处置、报警分析、实时（短信）通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知、设备管理、预警管理等功能。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）视频监控数据智能分析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汇聚企业内视频监控画面信息，实现重点场所（如硝酸铵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仓库、中控室）、关键部位（如重大危险源现场）的监控视频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智能分析，支持对火灾、烟雾、人员违章（中控室脱岗）等进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行全方位的识别和预警。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风险管控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-14"/>
          <w:sz w:val="32"/>
          <w:szCs w:val="22"/>
          <w:lang w:val="en-US" w:eastAsia="en-US" w:bidi="ar-SA"/>
        </w:rPr>
        <w:t>基于风险预警模型，分为重大风险（红）、较大风险（橙）、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一般风险（黄）、低风险（蓝）四个级别，实现重大危险源安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全风险的实时评估分析和展示、预警信息及时有效处置和闭环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管理，支持消警后上报处置结果、原因分析及整改措施。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评价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评估报告及隐患管理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支持上传重大危险源的安全评价报告、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SIL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等级评估报告和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重大危险源专项督导检查问题隐患相关数据，实现重大危险源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的安全评价报告电子化存档、查阅和问题隐患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NAEJJH+FangSong_GB2312" w:hAnsi="NAEJJH+FangSong_GB2312" w:eastAsiaTheme="minorEastAsia" w:cs="NAEJJH+FangSong_GB2312"/>
          <w:color w:val="000000"/>
          <w:spacing w:val="3"/>
          <w:sz w:val="32"/>
          <w:szCs w:val="22"/>
          <w:lang w:val="en-US" w:eastAsia="en-US" w:bidi="ar-SA"/>
        </w:rPr>
        <w:t>三录入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及整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z w:val="32"/>
          <w:szCs w:val="22"/>
          <w:lang w:val="en-US" w:eastAsia="en-US" w:bidi="ar-SA"/>
        </w:rPr>
        <w:t>改反馈功能。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（三）双重预防机制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主要用于推动企业有效运行双重预防机制，对企业风险分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析清单、排查任务及隐患治理情况进行管理，实现风险分级动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AEJJH+FangSong_GB2312" w:hAnsi="NAEJJH+FangSong_GB2312" w:eastAsiaTheme="minorEastAsia" w:cs="NAEJJH+FangSong_GB2312"/>
          <w:color w:val="000000"/>
          <w:spacing w:val="4"/>
          <w:sz w:val="32"/>
          <w:szCs w:val="22"/>
          <w:lang w:val="en-US" w:eastAsia="en-US" w:bidi="ar-SA"/>
        </w:rPr>
        <w:t>态管控、隐患排查治理闭环管理、机制运行成效监督预警等功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12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9" w:name="br1_18"/>
      <w:bookmarkEnd w:id="19"/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能，全面提升安全风险防控水平。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-3"/>
          <w:sz w:val="32"/>
          <w:szCs w:val="22"/>
          <w:lang w:val="en-US" w:eastAsia="en-US" w:bidi="ar-SA"/>
        </w:rPr>
        <w:t>按照《危险化学品企业双重预防机制数字化建设工作指南》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3"/>
          <w:sz w:val="32"/>
          <w:szCs w:val="22"/>
          <w:lang w:val="en-US" w:eastAsia="en-US" w:bidi="ar-SA"/>
        </w:rPr>
        <w:t>和《危险化学品企业双重预防机制数字化建设数据交换规范》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开展建设。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（四）特殊作业许可与作业过程管理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建设特殊作业许可与作业过程管理系统，将特殊作业审批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许可条件条目化、电子化、流程化，并通过信息化手段对作业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全流程进行过程痕迹管理，从而实现特殊作业申请、预约、审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-2"/>
          <w:sz w:val="32"/>
          <w:szCs w:val="22"/>
          <w:lang w:val="en-US" w:eastAsia="en-US" w:bidi="ar-SA"/>
        </w:rPr>
        <w:t>查、安全条件确认、许可、监护、验收全流程信息化、规范化、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程序化管理，支持同园区及上级监管部门的数据互通。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-23"/>
          <w:sz w:val="32"/>
          <w:szCs w:val="22"/>
          <w:lang w:val="en-US" w:eastAsia="en-US" w:bidi="ar-SA"/>
        </w:rPr>
        <w:t>按照《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+</w:t>
      </w: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特殊作业许可与作业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z w:val="32"/>
          <w:szCs w:val="22"/>
          <w:lang w:val="en-US" w:eastAsia="en-US" w:bidi="ar-SA"/>
        </w:rPr>
        <w:t>过程管理系统建设应用指南（试行）》建设。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（五）智能巡检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建设智能巡检系统，实现巡检、巡查全过程数字化管理，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管理人员根据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PID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工艺流程图、数字化交付资料、风险分析单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元划分、隐患排查清单、岗位安全风险责任清单等，分角色制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定巡检任务、规划巡检路线，匹配巡检清单及制度规范。巡检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人员通过移动终端自动获取巡检任务要求。支持巡检人员按规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定时间、规定位置、规定要求完成数据采集，并将设备设施运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行状态、设备设施故障以及各类安全生产隐患等信息实时传输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回管理后台，从而实现内外操作人员、管理人员、企业各个信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-2"/>
          <w:sz w:val="32"/>
          <w:szCs w:val="22"/>
          <w:lang w:val="en-US" w:eastAsia="en-US" w:bidi="ar-SA"/>
        </w:rPr>
        <w:t>息化系统间共享巡检数据。应有专人对智能巡检系统进行管理，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并将智能巡检系统接入企业中控室，确保及时处置巡检过程中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UCMJFT+FangSong_GB2312" w:hAnsi="UCMJFT+FangSong_GB2312" w:eastAsiaTheme="minorEastAsia" w:cs="UCMJFT+FangSong_GB2312"/>
          <w:color w:val="000000"/>
          <w:spacing w:val="4"/>
          <w:sz w:val="32"/>
          <w:szCs w:val="22"/>
          <w:lang w:val="en-US" w:eastAsia="en-US" w:bidi="ar-SA"/>
        </w:rPr>
        <w:t>的预警信息和隐患情况，实现闭环管理。智能巡检系统建设应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13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0" w:name="br1_19"/>
      <w:bookmarkEnd w:id="20"/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与双重预防机制系统、设备完整性管理系统等有机结合、互联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互通。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-23"/>
          <w:sz w:val="32"/>
          <w:szCs w:val="22"/>
          <w:lang w:val="en-US" w:eastAsia="en-US" w:bidi="ar-SA"/>
        </w:rPr>
        <w:t>按照《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+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智能巡检系统建设应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用指南（试行）》建设。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（六）人员定位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通过布设多个定位基站与人员携带的信号标签进行通信的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-2"/>
          <w:sz w:val="32"/>
          <w:szCs w:val="22"/>
          <w:lang w:val="en-US" w:eastAsia="en-US" w:bidi="ar-SA"/>
        </w:rPr>
        <w:t>方式，结合人员定位算法，计算出信号标签位置进行人员定位。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根据企业实际应用场景建设基站布局合理、定位精度准确的人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员定位系统，实现接受与发送报警信息、可视化展示、人员数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量统计分析、人员活动轨迹分析、存储和查询等功能。支持与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报警信息、智能巡检、特殊作业管理、应急疏散撤离、应急演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练联动，与化工园区安全风险智能化管控平台对接。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-23"/>
          <w:sz w:val="32"/>
          <w:szCs w:val="22"/>
          <w:lang w:val="en-US" w:eastAsia="en-US" w:bidi="ar-SA"/>
        </w:rPr>
        <w:t>按照《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+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人员定位系统建设应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用指南（试行）》建设。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（七）其他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18"/>
          <w:sz w:val="32"/>
          <w:szCs w:val="22"/>
          <w:lang w:val="en-US" w:eastAsia="en-US" w:bidi="ar-SA"/>
        </w:rPr>
        <w:t>鼓励有条件的企业在全部完成上述基本功能建设的基础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上，可结合本企业实际需要及属地监管要求，参照《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工业互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JLRSQJ+FangSong_GB2312" w:hAnsi="JLRSQJ+FangSong_GB2312" w:eastAsiaTheme="minorEastAsia" w:cs="JLRSQJ+FangSong_GB2312"/>
          <w:color w:val="000000"/>
          <w:spacing w:val="-4"/>
          <w:sz w:val="32"/>
          <w:szCs w:val="22"/>
          <w:lang w:val="en-US" w:eastAsia="en-US" w:bidi="ar-SA"/>
        </w:rPr>
        <w:t>试点建设方案》有关内容，拓展建设功能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模块及功能内容，如全员安全生产责任体系运行管理及考核、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数字交付及数字孪生、培训管理、设备完整性管理与预测性维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修、自动化过程控制优化、工艺生产报警优化、人员不安全行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为管控、作业环境及异常状态监控、敏捷应急、知识图谱、无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pacing w:val="4"/>
          <w:sz w:val="32"/>
          <w:szCs w:val="22"/>
          <w:lang w:val="en-US" w:eastAsia="en-US" w:bidi="ar-SA"/>
        </w:rPr>
        <w:t>人巡检、危险化学品运输车辆管理、事故事件管理等，丰富完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LRSQJ+FangSong_GB2312" w:hAnsi="JLRSQJ+FangSong_GB2312" w:eastAsiaTheme="minorEastAsia" w:cs="JLRSQJ+FangSong_GB2312"/>
          <w:color w:val="000000"/>
          <w:sz w:val="32"/>
          <w:szCs w:val="22"/>
          <w:lang w:val="en-US" w:eastAsia="en-US" w:bidi="ar-SA"/>
        </w:rPr>
        <w:t>善企业平台功能，提升安全风险智能化管控水平。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14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1" w:name="br1_20"/>
      <w:bookmarkEnd w:id="21"/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五、基础设施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（一）气体泄漏探测系统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企业应部署气体泄漏探测系统，用于实时监测厂区危险气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体浓度。危险气体的探测技术包括单点式气体传感器检测与速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扫气体探测。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鼓励有条件的企业可以部署基于</w:t>
      </w:r>
      <w:r>
        <w:rPr>
          <w:rFonts w:hAnsi="Calibri" w:eastAsiaTheme="minorEastAsia" w:cstheme="minorBidi"/>
          <w:color w:val="000000"/>
          <w:spacing w:val="-16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TDLAS</w:t>
      </w:r>
      <w:r>
        <w:rPr>
          <w:rFonts w:hAnsi="Calibri" w:eastAsiaTheme="minorEastAsia" w:cstheme="minorBidi"/>
          <w:color w:val="000000"/>
          <w:spacing w:val="-16"/>
          <w:sz w:val="32"/>
          <w:szCs w:val="22"/>
          <w:lang w:val="en-US" w:eastAsia="en-US" w:bidi="ar-SA"/>
        </w:rPr>
        <w:t xml:space="preserve"> </w:t>
      </w: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技术与</w:t>
      </w:r>
      <w:r>
        <w:rPr>
          <w:rFonts w:hAnsi="Calibri" w:eastAsiaTheme="minorEastAsia" w:cstheme="minorBidi"/>
          <w:color w:val="000000"/>
          <w:spacing w:val="-16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CT</w:t>
      </w:r>
      <w:r>
        <w:rPr>
          <w:rFonts w:hAnsi="Calibri" w:eastAsiaTheme="minorEastAsia" w:cstheme="minorBidi"/>
          <w:color w:val="000000"/>
          <w:spacing w:val="-15"/>
          <w:sz w:val="32"/>
          <w:szCs w:val="22"/>
          <w:lang w:val="en-US" w:eastAsia="en-US" w:bidi="ar-SA"/>
        </w:rPr>
        <w:t xml:space="preserve"> </w:t>
      </w: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算法的水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-2"/>
          <w:sz w:val="32"/>
          <w:szCs w:val="22"/>
          <w:lang w:val="en-US" w:eastAsia="en-US" w:bidi="ar-SA"/>
        </w:rPr>
        <w:t>平场分布测量系统、光谱成像气体检测系统及由空基探测系统、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地基探测系统所构成的空地一体化危险气体探测网。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（二）视频监控与智能分析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建设视频监控及智能分析系统，实现重大危险源、中控室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等重点区域视频监控全覆盖，应实现中控室人员脱岗、硝酸铵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z w:val="32"/>
          <w:szCs w:val="22"/>
          <w:lang w:val="en-US" w:eastAsia="en-US" w:bidi="ar-SA"/>
        </w:rPr>
        <w:t>仓库早期烟火等的自动识别与报警，提升企业安全管理效能。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鼓励有条件的企业升级完善视频智能分析系统，汇集固定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视频、移动视频、无人机视频、红外成像等，及时发现人的不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安全行为、物的不安全状态，如个人防护装备不正确佩戴、</w:t>
      </w: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人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员倒地、检修作业未放置灭火器等。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（三）网络改造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企业应基于现有网络条件，针对安全风险智能化管控平台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NMRHJ+FangSong_GB2312" w:hAnsi="CNMRHJ+FangSong_GB2312" w:eastAsiaTheme="minorEastAsia" w:cs="CNMRHJ+FangSong_GB2312"/>
          <w:color w:val="000000"/>
          <w:spacing w:val="4"/>
          <w:sz w:val="32"/>
          <w:szCs w:val="22"/>
          <w:lang w:val="en-US" w:eastAsia="en-US" w:bidi="ar-SA"/>
        </w:rPr>
        <w:t>建设需要，进行工业生产装备和仪器仪表的数字化、网络化改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15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2" w:name="br1_21"/>
      <w:bookmarkEnd w:id="22"/>
      <w:r>
        <w:rPr>
          <w:rFonts w:ascii="OSAEBL+FangSong_GB2312" w:hAnsi="OSAEBL+FangSong_GB2312" w:eastAsiaTheme="minorEastAsia" w:cs="OSAEBL+FangSong_GB2312"/>
          <w:color w:val="000000"/>
          <w:spacing w:val="-29"/>
          <w:sz w:val="32"/>
          <w:szCs w:val="22"/>
          <w:lang w:val="en-US" w:eastAsia="en-US" w:bidi="ar-SA"/>
        </w:rPr>
        <w:t>造，建设</w:t>
      </w:r>
      <w:r>
        <w:rPr>
          <w:rFonts w:hAnsi="Calibri" w:eastAsiaTheme="minorEastAsia" w:cstheme="minorBidi"/>
          <w:color w:val="000000"/>
          <w:spacing w:val="30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IT—OT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OSAEBL+FangSong_GB2312" w:hAnsi="OSAEBL+FangSong_GB2312" w:eastAsiaTheme="minorEastAsia" w:cs="OSAEBL+FangSong_GB2312"/>
          <w:color w:val="000000"/>
          <w:spacing w:val="-10"/>
          <w:sz w:val="32"/>
          <w:szCs w:val="22"/>
          <w:lang w:val="en-US" w:eastAsia="en-US" w:bidi="ar-SA"/>
        </w:rPr>
        <w:t>融合的企业内部网络，向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体系化互联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转变；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企业应接入高质量外网，与园区、上级主管单位及各级监管部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门实现互联互通。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鼓励有条件的企业采用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TSN</w:t>
      </w: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等网络传输技术，实现数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据低延时、高可靠实时通讯。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（四）电子地图与数字建模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企业应配置厂区电子地图，支持平台基本应用。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鼓励有条件的企业开展厂区及重要设备设施数字建模，将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整个厂区的全流程各环节全要素以可视化和虚拟现实的形式呈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-2"/>
          <w:sz w:val="32"/>
          <w:szCs w:val="22"/>
          <w:lang w:val="en-US" w:eastAsia="en-US" w:bidi="ar-SA"/>
        </w:rPr>
        <w:t>现，将人员定位数据、视频图像等数据接入数字孪生系统平台，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实现面向企业生产作业过程的全程三维可视化集中统一管控，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加强企业信息管理和服务。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（五）标识解析企业节点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参照国家或行业相关标准规范，结合企业管理实践，完成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z w:val="32"/>
          <w:szCs w:val="22"/>
          <w:lang w:val="en-US" w:eastAsia="en-US" w:bidi="ar-SA"/>
        </w:rPr>
        <w:t>安全生产相关要素的统一标识。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企业应建立工业互联网标识解析企业节点，为企业内部提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4"/>
          <w:sz w:val="32"/>
          <w:szCs w:val="22"/>
          <w:lang w:val="en-US" w:eastAsia="en-US" w:bidi="ar-SA"/>
        </w:rPr>
        <w:t>供标识编码注册和标识解析服务，并与园区、区域、集团公司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SAEBL+FangSong_GB2312" w:hAnsi="OSAEBL+FangSong_GB2312" w:eastAsiaTheme="minorEastAsia" w:cs="OSAEBL+FangSong_GB2312"/>
          <w:color w:val="000000"/>
          <w:spacing w:val="-2"/>
          <w:sz w:val="32"/>
          <w:szCs w:val="22"/>
          <w:lang w:val="en-US" w:eastAsia="en-US" w:bidi="ar-SA"/>
        </w:rPr>
        <w:t>或行业节点对接，建立企业内部数据与外部数据互联互通机制。</w:t>
      </w:r>
    </w:p>
    <w:p>
      <w:pPr>
        <w:spacing w:before="858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16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3" w:name="br1_22"/>
      <w:bookmarkEnd w:id="23"/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六、数据交换与传输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危险化学品企业安全风险智能化管控平台提供数据交换系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4"/>
          <w:sz w:val="32"/>
          <w:szCs w:val="22"/>
          <w:lang w:val="en-US" w:eastAsia="en-US" w:bidi="ar-SA"/>
        </w:rPr>
        <w:t>统，支持平台对内、对外数据交互，从而形成数据上下贯通、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-2"/>
          <w:sz w:val="32"/>
          <w:szCs w:val="22"/>
          <w:lang w:val="en-US" w:eastAsia="en-US" w:bidi="ar-SA"/>
        </w:rPr>
        <w:t>互联共享的数据交换与传输体系。通过使用标准化的接口协议，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4"/>
          <w:sz w:val="32"/>
          <w:szCs w:val="22"/>
          <w:lang w:val="en-US" w:eastAsia="en-US" w:bidi="ar-SA"/>
        </w:rPr>
        <w:t>约定应用和服务进行交互的规范，包括数据传输的格式、传输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-4"/>
          <w:sz w:val="32"/>
          <w:szCs w:val="22"/>
          <w:lang w:val="en-US" w:eastAsia="en-US" w:bidi="ar-SA"/>
        </w:rPr>
        <w:t>协议等。数据交换接口应遵循技术中立的原则，选用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XML</w:t>
      </w:r>
      <w:r>
        <w:rPr>
          <w:rFonts w:ascii="WGBABT+FangSong_GB2312" w:hAnsi="WGBABT+FangSong_GB2312" w:eastAsiaTheme="minorEastAsia" w:cs="WGBABT+FangSong_GB2312"/>
          <w:color w:val="000000"/>
          <w:spacing w:val="-5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JCA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Web</w:t>
      </w:r>
      <w:r>
        <w:rPr>
          <w:rFonts w:hAnsi="Calibri" w:eastAsiaTheme="minorEastAsia" w:cstheme="minorBidi"/>
          <w:color w:val="000000"/>
          <w:spacing w:val="8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Service</w:t>
      </w:r>
      <w:r>
        <w:rPr>
          <w:rFonts w:ascii="WGBABT+FangSong_GB2312" w:hAnsi="WGBABT+FangSong_GB2312" w:eastAsiaTheme="minorEastAsia" w:cs="WGBABT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XPDL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等主流技术。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数据交换与传输应满足以下技术要求：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支持数据双向同步；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支持各种主流操作系统；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支持国内外主流数据库；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支持结构化及非结构化的数据；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支持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HTTP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HTTPS</w:t>
      </w:r>
      <w:r>
        <w:rPr>
          <w:rFonts w:ascii="WGBABT+FangSong_GB2312" w:hAnsi="WGBABT+FangSong_GB2312" w:eastAsiaTheme="minorEastAsia" w:cs="WGBABT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TCP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TCPS</w:t>
      </w:r>
      <w:r>
        <w:rPr>
          <w:rFonts w:ascii="WGBABT+FangSong_GB2312" w:hAnsi="WGBABT+FangSong_GB2312" w:eastAsiaTheme="minorEastAsia" w:cs="WGBABT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JMS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SOAP</w:t>
      </w:r>
      <w:r>
        <w:rPr>
          <w:rFonts w:ascii="WGBABT+FangSong_GB2312" w:hAnsi="WGBABT+FangSong_GB2312" w:eastAsiaTheme="minorEastAsia" w:cs="WGBABT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FTP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MQTT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等多种协议；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pacing w:val="-4"/>
          <w:sz w:val="32"/>
          <w:szCs w:val="22"/>
          <w:lang w:val="en-US" w:eastAsia="en-US" w:bidi="ar-SA"/>
        </w:rPr>
        <w:t>提供增量数据自动识别功能。在不修改数据库结构的情况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pacing w:val="4"/>
          <w:sz w:val="32"/>
          <w:szCs w:val="22"/>
          <w:lang w:val="en-US" w:eastAsia="en-US" w:bidi="ar-SA"/>
        </w:rPr>
        <w:t>下，系统应能自动识别出需要交换的信息，包括新增、被修改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或被删除的信息；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提供管理与监控接口，支持远程管理功能；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pacing w:val="9"/>
          <w:sz w:val="32"/>
          <w:szCs w:val="22"/>
          <w:lang w:val="en-US" w:eastAsia="en-US" w:bidi="ar-SA"/>
        </w:rPr>
        <w:t>提供消息确认和消息选择性重发机制以实现安全可靠的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消息传递功能；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提供消息差错处理功能；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提供消息寻址功能，支持信息路由功能；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z w:val="32"/>
          <w:szCs w:val="22"/>
          <w:lang w:val="en-US" w:eastAsia="en-US" w:bidi="ar-SA"/>
        </w:rPr>
        <w:t>提供数据交换流程监控功能；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OBRCI+SymbolMT" w:hAnsi="ROBRCI+SymbolMT" w:eastAsiaTheme="minorEastAsia" w:cs="ROBRCI+SymbolMT"/>
          <w:color w:val="000000"/>
          <w:sz w:val="32"/>
          <w:szCs w:val="22"/>
          <w:lang w:val="en-US" w:eastAsia="en-US" w:bidi="ar-SA"/>
        </w:rPr>
        <w:sym w:font="ROBRCI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WGBABT+FangSong_GB2312" w:hAnsi="WGBABT+FangSong_GB2312" w:eastAsiaTheme="minorEastAsia" w:cs="WGBABT+FangSong_GB2312"/>
          <w:color w:val="000000"/>
          <w:spacing w:val="-4"/>
          <w:sz w:val="32"/>
          <w:szCs w:val="22"/>
          <w:lang w:val="en-US" w:eastAsia="en-US" w:bidi="ar-SA"/>
        </w:rPr>
        <w:t>具备良好的可扩展性，可根据交换与共享需求的变化实现</w:t>
      </w:r>
    </w:p>
    <w:p>
      <w:pPr>
        <w:spacing w:before="274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17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4" w:name="br1_23"/>
      <w:bookmarkEnd w:id="24"/>
      <w:r>
        <w:rPr>
          <w:noProof/>
        </w:rPr>
        <w:pict>
          <v:shape id="_x0000_s1028" type="#_x0000_t75" style="width:429.7pt;height:240.1pt;margin-top:363.4pt;margin-left:82.9pt;mso-position-horizontal-relative:page;mso-position-vertical-relative:page;position:absolute;z-index:-251655168">
            <v:imagedata r:id="rId7" o:title=""/>
          </v:shape>
        </w:pict>
      </w:r>
      <w:bookmarkStart w:id="25" w:name="br1_24"/>
      <w:bookmarkEnd w:id="25"/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系统的扩展部署；</w:t>
      </w:r>
    </w:p>
    <w:p>
      <w:pPr>
        <w:spacing w:before="186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OHNLT+SymbolMT" w:hAnsi="BOHNLT+SymbolMT" w:eastAsiaTheme="minorEastAsia" w:cs="BOHNLT+SymbolMT"/>
          <w:color w:val="000000"/>
          <w:sz w:val="32"/>
          <w:szCs w:val="22"/>
          <w:lang w:val="en-US" w:eastAsia="en-US" w:bidi="ar-SA"/>
        </w:rPr>
        <w:sym w:font="BOHNL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BLQIOE+FangSong_GB2312" w:hAnsi="BLQIOE+FangSong_GB2312" w:eastAsiaTheme="minorEastAsia" w:cs="BLQIOE+FangSong_GB2312"/>
          <w:color w:val="000000"/>
          <w:spacing w:val="-4"/>
          <w:sz w:val="32"/>
          <w:szCs w:val="22"/>
          <w:lang w:val="en-US" w:eastAsia="en-US" w:bidi="ar-SA"/>
        </w:rPr>
        <w:t>具备与安全等级相应的安全防护措施，具备符合安全等级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要求的快速恢复能力；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OHNLT+SymbolMT" w:hAnsi="BOHNLT+SymbolMT" w:eastAsiaTheme="minorEastAsia" w:cs="BOHNLT+SymbolMT"/>
          <w:color w:val="000000"/>
          <w:sz w:val="32"/>
          <w:szCs w:val="22"/>
          <w:lang w:val="en-US" w:eastAsia="en-US" w:bidi="ar-SA"/>
        </w:rPr>
        <w:sym w:font="BOHNL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支持视频流传输技术；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OHNLT+SymbolMT" w:hAnsi="BOHNLT+SymbolMT" w:eastAsiaTheme="minorEastAsia" w:cs="BOHNLT+SymbolMT"/>
          <w:color w:val="000000"/>
          <w:sz w:val="32"/>
          <w:szCs w:val="22"/>
          <w:lang w:val="en-US" w:eastAsia="en-US" w:bidi="ar-SA"/>
        </w:rPr>
        <w:sym w:font="BOHNL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BLQIOE+FangSong_GB2312" w:hAnsi="BLQIOE+FangSong_GB2312" w:eastAsiaTheme="minorEastAsia" w:cs="BLQIOE+FangSong_GB2312"/>
          <w:color w:val="000000"/>
          <w:spacing w:val="2"/>
          <w:sz w:val="32"/>
          <w:szCs w:val="22"/>
          <w:lang w:val="en-US" w:eastAsia="en-US" w:bidi="ar-SA"/>
        </w:rPr>
        <w:t>提供数据格式转换、数据填充，数据加密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/</w:t>
      </w:r>
      <w:r>
        <w:rPr>
          <w:rFonts w:ascii="BLQIOE+FangSong_GB2312" w:hAnsi="BLQIOE+FangSong_GB2312" w:eastAsiaTheme="minorEastAsia" w:cs="BLQIOE+FangSong_GB2312"/>
          <w:color w:val="000000"/>
          <w:spacing w:val="2"/>
          <w:sz w:val="32"/>
          <w:szCs w:val="22"/>
          <w:lang w:val="en-US" w:eastAsia="en-US" w:bidi="ar-SA"/>
        </w:rPr>
        <w:t>解密、数据过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滤、数据传输、校验和路由等数据交换必需的功能；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OHNLT+SymbolMT" w:hAnsi="BOHNLT+SymbolMT" w:eastAsiaTheme="minorEastAsia" w:cs="BOHNLT+SymbolMT"/>
          <w:color w:val="000000"/>
          <w:sz w:val="32"/>
          <w:szCs w:val="22"/>
          <w:lang w:val="en-US" w:eastAsia="en-US" w:bidi="ar-SA"/>
        </w:rPr>
        <w:sym w:font="BOHNL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支持边缘物联设备接入。</w:t>
      </w:r>
    </w:p>
    <w:p>
      <w:pPr>
        <w:spacing w:before="207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七、平台信息系统安全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4"/>
          <w:sz w:val="32"/>
          <w:szCs w:val="22"/>
          <w:lang w:val="en-US" w:eastAsia="en-US" w:bidi="ar-SA"/>
        </w:rPr>
        <w:t>支持从安全技术体系和安全管理体系两个维度来构建平台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z w:val="32"/>
          <w:szCs w:val="22"/>
          <w:lang w:val="en-US" w:eastAsia="en-US" w:bidi="ar-SA"/>
        </w:rPr>
        <w:t>的安全体系。</w:t>
      </w:r>
    </w:p>
    <w:p>
      <w:pPr>
        <w:spacing w:before="4999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4"/>
          <w:sz w:val="32"/>
          <w:szCs w:val="22"/>
          <w:lang w:val="en-US" w:eastAsia="en-US" w:bidi="ar-SA"/>
        </w:rPr>
        <w:t>安全防护对象应覆盖企业的网络基础设施、信息系统、大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4"/>
          <w:sz w:val="32"/>
          <w:szCs w:val="22"/>
          <w:lang w:val="en-US" w:eastAsia="en-US" w:bidi="ar-SA"/>
        </w:rPr>
        <w:t>数据、物联网、云平台、工控系统、智能设备等，安全保障框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3"/>
          <w:sz w:val="32"/>
          <w:szCs w:val="22"/>
          <w:lang w:val="en-US" w:eastAsia="en-US" w:bidi="ar-SA"/>
        </w:rPr>
        <w:t>架所有安全控制都应以安全方针、策略作为安全工作的指导与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4"/>
          <w:sz w:val="32"/>
          <w:szCs w:val="22"/>
          <w:lang w:val="en-US" w:eastAsia="en-US" w:bidi="ar-SA"/>
        </w:rPr>
        <w:t>依据，落实安全管理和安全技术两大维度的具体实施与维护，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BLQIOE+FangSong_GB2312" w:hAnsi="BLQIOE+FangSong_GB2312" w:eastAsiaTheme="minorEastAsia" w:cs="BLQIOE+FangSong_GB2312"/>
          <w:color w:val="000000"/>
          <w:spacing w:val="4"/>
          <w:sz w:val="32"/>
          <w:szCs w:val="22"/>
          <w:lang w:val="en-US" w:eastAsia="en-US" w:bidi="ar-SA"/>
        </w:rPr>
        <w:t>以业务系统的安全运营为信息安全保障建设的核心，并辅以安</w:t>
      </w:r>
    </w:p>
    <w:p>
      <w:pPr>
        <w:spacing w:before="570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18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6" w:name="br1_25"/>
      <w:bookmarkEnd w:id="26"/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全运维与安全培训贯穿信息安全保障体系的全过程，形成风险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可控的安全保障框架体系。其中，安全技术体系应覆盖物理环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境安全、终端安全、区域边界安全、通信网络安全、云平台安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全、数据安全、应用安全、安全管理中心等要素。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10"/>
          <w:sz w:val="32"/>
          <w:szCs w:val="22"/>
          <w:lang w:val="en-US" w:eastAsia="en-US" w:bidi="ar-SA"/>
        </w:rPr>
        <w:t>按照《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CUCRPU+FangSong_GB2312" w:hAnsi="CUCRPU+FangSong_GB2312" w:eastAsiaTheme="minorEastAsia" w:cs="CUCRPU+FangSong_GB2312"/>
          <w:color w:val="000000"/>
          <w:spacing w:val="1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CUCRPU+FangSong_GB2312" w:hAnsi="CUCRPU+FangSong_GB2312" w:eastAsiaTheme="minorEastAsia" w:cs="CUCRPU+FangSong_GB2312"/>
          <w:color w:val="000000"/>
          <w:spacing w:val="11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9"/>
          <w:sz w:val="32"/>
          <w:szCs w:val="22"/>
          <w:lang w:val="en-US" w:eastAsia="en-US" w:bidi="ar-SA"/>
        </w:rPr>
        <w:t>”</w:t>
      </w:r>
      <w:r>
        <w:rPr>
          <w:rFonts w:ascii="CUCRPU+FangSong_GB2312" w:hAnsi="CUCRPU+FangSong_GB2312" w:eastAsiaTheme="minorEastAsia" w:cs="CUCRPU+FangSong_GB2312"/>
          <w:color w:val="000000"/>
          <w:spacing w:val="11"/>
          <w:sz w:val="32"/>
          <w:szCs w:val="22"/>
          <w:lang w:val="en-US" w:eastAsia="en-US" w:bidi="ar-SA"/>
        </w:rPr>
        <w:t>试点建设实施指南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（试行）》相关内容建设。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八、量化指标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危险化学品企业安全风险智能化管控平台在网络延迟、安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全等级、响应时间和稳定性等方面应满足以下要求。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（一）网络延迟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静态数据（基础数据、第三方、特殊作业、双重预防机制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等）传输网络延迟不超过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1s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。视频监控数据传输网络延迟不超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0.5s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。实时动态数据（传感器感知数据）传输网络延迟不超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0.5s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，数据更新频次不低于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2s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（二）安全等级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-23"/>
          <w:sz w:val="32"/>
          <w:szCs w:val="22"/>
          <w:lang w:val="en-US" w:eastAsia="en-US" w:bidi="ar-SA"/>
        </w:rPr>
        <w:t>依据《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GB/T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22240—2020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信息安全技术</w:t>
      </w:r>
      <w:r>
        <w:rPr>
          <w:rFonts w:hAnsi="Calibri" w:eastAsiaTheme="minorEastAsia" w:cstheme="minorBidi"/>
          <w:color w:val="000000"/>
          <w:spacing w:val="80"/>
          <w:sz w:val="32"/>
          <w:szCs w:val="22"/>
          <w:lang w:val="en-US" w:eastAsia="en-US" w:bidi="ar-SA"/>
        </w:rPr>
        <w:t xml:space="preserve"> 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网络安全等级保护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定级指南》，确定所需达到的安全等保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等级，建议规模以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上企业按照安全等保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三级加强安全管理。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（三）响应时间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交互类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-3"/>
          <w:sz w:val="32"/>
          <w:szCs w:val="22"/>
          <w:lang w:val="en-US" w:eastAsia="en-US" w:bidi="ar-SA"/>
        </w:rPr>
        <w:t>交互类是指平时工作中在系统中进行的业务处理，如录入，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UCRPU+FangSong_GB2312" w:hAnsi="CUCRPU+FangSong_GB2312" w:eastAsiaTheme="minorEastAsia" w:cs="CUCRPU+FangSong_GB2312"/>
          <w:color w:val="000000"/>
          <w:spacing w:val="4"/>
          <w:sz w:val="32"/>
          <w:szCs w:val="22"/>
          <w:lang w:val="en-US" w:eastAsia="en-US" w:bidi="ar-SA"/>
        </w:rPr>
        <w:t>修改或删除一条记录、发布一条信息等操作。平均响应时间：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0.2—0.8s</w:t>
      </w:r>
      <w:r>
        <w:rPr>
          <w:rFonts w:ascii="CUCRPU+FangSong_GB2312" w:hAnsi="CUCRPU+FangSong_GB2312" w:eastAsiaTheme="minorEastAsia" w:cs="CUCRPU+FangSong_GB2312"/>
          <w:color w:val="000000"/>
          <w:spacing w:val="-6"/>
          <w:sz w:val="32"/>
          <w:szCs w:val="22"/>
          <w:lang w:val="en-US" w:eastAsia="en-US" w:bidi="ar-SA"/>
        </w:rPr>
        <w:t>，峰值响应时间：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0.5—1s</w:t>
      </w:r>
      <w:r>
        <w:rPr>
          <w:rFonts w:ascii="CUCRPU+FangSong_GB2312" w:hAnsi="CUCRPU+FangSong_GB2312" w:eastAsiaTheme="minorEastAsia" w:cs="CUCRPU+FangSong_GB2312"/>
          <w:color w:val="000000"/>
          <w:spacing w:val="-2"/>
          <w:sz w:val="32"/>
          <w:szCs w:val="22"/>
          <w:lang w:val="en-US" w:eastAsia="en-US" w:bidi="ar-SA"/>
        </w:rPr>
        <w:t>，视频点播平均响应时间：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5—10s</w:t>
      </w:r>
      <w:r>
        <w:rPr>
          <w:rFonts w:ascii="CUCRPU+FangSong_GB2312" w:hAnsi="CUCRPU+FangSong_GB2312" w:eastAsiaTheme="minorEastAsia" w:cs="CUCRPU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19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7" w:name="br1_26"/>
      <w:bookmarkEnd w:id="27"/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查询类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查询业务由于受到查询的复杂程度、数据量大小等因素影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响，需要根据具体情况而定，在此给出一个参考范围。简单查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询平均响应时间：</w:t>
      </w:r>
      <w:r>
        <w:rPr>
          <w:rFonts w:ascii="SimSun" w:hAnsi="SimSun" w:eastAsiaTheme="minorEastAsia" w:cs="SimSun"/>
          <w:color w:val="000000"/>
          <w:spacing w:val="1"/>
          <w:sz w:val="32"/>
          <w:szCs w:val="22"/>
          <w:lang w:val="en-US" w:eastAsia="en-US" w:bidi="ar-SA"/>
        </w:rPr>
        <w:t>1—3s</w:t>
      </w: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，复杂查询平均响应时间：</w:t>
      </w:r>
      <w:r>
        <w:rPr>
          <w:rFonts w:ascii="SimSun" w:hAnsi="SimSun" w:eastAsiaTheme="minorEastAsia" w:cs="SimSun"/>
          <w:color w:val="000000"/>
          <w:spacing w:val="1"/>
          <w:sz w:val="32"/>
          <w:szCs w:val="22"/>
          <w:lang w:val="en-US" w:eastAsia="en-US" w:bidi="ar-SA"/>
        </w:rPr>
        <w:t>3—5s</w:t>
      </w: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，地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理信息查询平均响应时间：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5—10s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在线分析类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在线分析类因需要调用多维数据集，性能受维度多少影响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比较明显，在此给出一个参考范围。平均响应时间：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0.3—1s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0.5—3s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统计报表类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统计报表类因需要在线实时汇总数据，受数据量多少、汇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16"/>
          <w:sz w:val="32"/>
          <w:szCs w:val="22"/>
          <w:lang w:val="en-US" w:eastAsia="en-US" w:bidi="ar-SA"/>
        </w:rPr>
        <w:t>总层次影响较大，在此给出一个参考范围。平均响应时间：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1—3s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，峰值响应时间：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3—8s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事务处理能力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每秒支持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5000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个事务处理。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（四）稳定性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要求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7*24h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运行，通过性能监测、系统巡检等方式，及时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发现并避免系统故障。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RFAJC+SymbolMT" w:hAnsi="FRFAJC+SymbolMT" w:eastAsiaTheme="minorEastAsia" w:cs="FRFAJC+SymbolMT"/>
          <w:color w:val="000000"/>
          <w:sz w:val="32"/>
          <w:szCs w:val="22"/>
          <w:lang w:val="en-US" w:eastAsia="en-US" w:bidi="ar-SA"/>
        </w:rPr>
        <w:sym w:font="FRFAJC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每年意外死机不超过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pacing w:val="-1"/>
          <w:sz w:val="32"/>
          <w:szCs w:val="22"/>
          <w:lang w:val="en-US" w:eastAsia="en-US" w:bidi="ar-SA"/>
        </w:rPr>
        <w:t>次。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RFAJC+SymbolMT" w:hAnsi="FRFAJC+SymbolMT" w:eastAsiaTheme="minorEastAsia" w:cs="FRFAJC+SymbolMT"/>
          <w:color w:val="000000"/>
          <w:sz w:val="32"/>
          <w:szCs w:val="22"/>
          <w:lang w:val="en-US" w:eastAsia="en-US" w:bidi="ar-SA"/>
        </w:rPr>
        <w:sym w:font="FRFAJC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因平台问题导致的操作失败率不超过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0.3</w:t>
      </w:r>
      <w:r>
        <w:rPr>
          <w:rFonts w:ascii="MFHGCG+FangSong_GB2312" w:hAnsi="MFHGCG+FangSong_GB2312" w:eastAsiaTheme="minorEastAsia" w:cs="MFHGCG+FangSong_GB2312"/>
          <w:color w:val="000000"/>
          <w:spacing w:val="-1"/>
          <w:sz w:val="32"/>
          <w:szCs w:val="22"/>
          <w:lang w:val="en-US" w:eastAsia="en-US" w:bidi="ar-SA"/>
        </w:rPr>
        <w:t>％。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RFAJC+SymbolMT" w:hAnsi="FRFAJC+SymbolMT" w:eastAsiaTheme="minorEastAsia" w:cs="FRFAJC+SymbolMT"/>
          <w:color w:val="000000"/>
          <w:sz w:val="32"/>
          <w:szCs w:val="22"/>
          <w:lang w:val="en-US" w:eastAsia="en-US" w:bidi="ar-SA"/>
        </w:rPr>
        <w:sym w:font="FRFAJC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FHGCG+FangSong_GB2312" w:hAnsi="MFHGCG+FangSong_GB2312" w:eastAsiaTheme="minorEastAsia" w:cs="MFHGCG+FangSong_GB2312"/>
          <w:color w:val="000000"/>
          <w:sz w:val="32"/>
          <w:szCs w:val="22"/>
          <w:lang w:val="en-US" w:eastAsia="en-US" w:bidi="ar-SA"/>
        </w:rPr>
        <w:t>服务器系统时间与标准时间应实时同步。</w:t>
      </w:r>
    </w:p>
    <w:p>
      <w:pPr>
        <w:spacing w:before="205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九、系统集成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10"/>
          <w:sz w:val="32"/>
          <w:szCs w:val="22"/>
          <w:lang w:val="en-US" w:eastAsia="en-US" w:bidi="ar-SA"/>
        </w:rPr>
        <w:t>支持将危险化学品企业内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MFHGCG+FangSong_GB2312" w:hAnsi="MFHGCG+FangSong_GB2312" w:eastAsiaTheme="minorEastAsia" w:cs="MFHGCG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MFHGCG+FangSong_GB2312" w:hAnsi="MFHGCG+FangSong_GB2312" w:eastAsiaTheme="minorEastAsia" w:cs="MFHGCG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”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FHGCG+FangSong_GB2312" w:hAnsi="MFHGCG+FangSong_GB2312" w:eastAsiaTheme="minorEastAsia" w:cs="MFHGCG+FangSong_GB2312"/>
          <w:color w:val="000000"/>
          <w:spacing w:val="4"/>
          <w:sz w:val="32"/>
          <w:szCs w:val="22"/>
          <w:lang w:val="en-US" w:eastAsia="en-US" w:bidi="ar-SA"/>
        </w:rPr>
        <w:t>相关的软件、硬件系统进行有机融合，实现数据互通互联及业</w:t>
      </w:r>
    </w:p>
    <w:p>
      <w:pPr>
        <w:spacing w:before="299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20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8" w:name="br1_27"/>
      <w:bookmarkEnd w:id="28"/>
      <w:r>
        <w:rPr>
          <w:rFonts w:ascii="ICPNVK+FangSong_GB2312" w:hAnsi="ICPNVK+FangSong_GB2312" w:eastAsiaTheme="minorEastAsia" w:cs="ICPNVK+FangSong_GB2312"/>
          <w:color w:val="000000"/>
          <w:spacing w:val="-2"/>
          <w:sz w:val="32"/>
          <w:szCs w:val="22"/>
          <w:lang w:val="en-US" w:eastAsia="en-US" w:bidi="ar-SA"/>
        </w:rPr>
        <w:t>务集成。确保集成后整体及各子系统之间可以有机协调地工作。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4"/>
          <w:sz w:val="32"/>
          <w:szCs w:val="22"/>
          <w:lang w:val="en-US" w:eastAsia="en-US" w:bidi="ar-SA"/>
        </w:rPr>
        <w:t>实现系统及服务可对接、可迁移，企业各个系统之间能完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4"/>
          <w:sz w:val="32"/>
          <w:szCs w:val="22"/>
          <w:lang w:val="en-US" w:eastAsia="en-US" w:bidi="ar-SA"/>
        </w:rPr>
        <w:t>成各类数据的安全、稳定传输，同时可以与上级企业、所在园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z w:val="32"/>
          <w:szCs w:val="22"/>
          <w:lang w:val="en-US" w:eastAsia="en-US" w:bidi="ar-SA"/>
        </w:rPr>
        <w:t>区及其他监管部门等进行数据的交换、汇聚和共享。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（一）硬件系统集成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4"/>
          <w:sz w:val="32"/>
          <w:szCs w:val="22"/>
          <w:lang w:val="en-US" w:eastAsia="en-US" w:bidi="ar-SA"/>
        </w:rPr>
        <w:t>部署各类信号的隔离、复制、传输、转换等硬件设备，完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4"/>
          <w:sz w:val="32"/>
          <w:szCs w:val="22"/>
          <w:lang w:val="en-US" w:eastAsia="en-US" w:bidi="ar-SA"/>
        </w:rPr>
        <w:t>成协议转换，支持感知类传感监测设备、工业控制设备、边缘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-2"/>
          <w:sz w:val="32"/>
          <w:szCs w:val="22"/>
          <w:lang w:val="en-US" w:eastAsia="en-US" w:bidi="ar-SA"/>
        </w:rPr>
        <w:t>计算设备、监控摄像机、数据网关及其他硬件设备间数据通讯。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（二）软件系统集成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pacing w:val="4"/>
          <w:sz w:val="32"/>
          <w:szCs w:val="22"/>
          <w:lang w:val="en-US" w:eastAsia="en-US" w:bidi="ar-SA"/>
        </w:rPr>
        <w:t>统一规划管理各相关软件系统，协调迭代优化，确保互操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CPNVK+FangSong_GB2312" w:hAnsi="ICPNVK+FangSong_GB2312" w:eastAsiaTheme="minorEastAsia" w:cs="ICPNVK+FangSong_GB2312"/>
          <w:color w:val="000000"/>
          <w:sz w:val="32"/>
          <w:szCs w:val="22"/>
          <w:lang w:val="en-US" w:eastAsia="en-US" w:bidi="ar-SA"/>
        </w:rPr>
        <w:t>作性，实现数据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ICPNVK+FangSong_GB2312" w:hAnsi="ICPNVK+FangSong_GB2312" w:eastAsiaTheme="minorEastAsia" w:cs="ICPNVK+FangSong_GB2312"/>
          <w:color w:val="000000"/>
          <w:sz w:val="32"/>
          <w:szCs w:val="22"/>
          <w:lang w:val="en-US" w:eastAsia="en-US" w:bidi="ar-SA"/>
        </w:rPr>
        <w:t>一次性输入、多处调用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ICPNVK+FangSong_GB2312" w:hAnsi="ICPNVK+FangSong_GB2312" w:eastAsiaTheme="minorEastAsia" w:cs="ICPNVK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7578" w:after="0" w:line="190" w:lineRule="exact"/>
        <w:ind w:left="4277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21</w:t>
      </w:r>
    </w:p>
    <w:sectPr>
      <w:pgSz w:w="11900" w:h="16820"/>
      <w:pgMar w:top="1857" w:right="100" w:bottom="0" w:left="1586" w:header="720" w:footer="720" w:gutter="0"/>
      <w:pgNumType w:start="1"/>
      <w:cols w:sep="0"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1010101" w:usb3="01010101" w:csb0="01010105" w:csb1="01010101"/>
  </w:font>
  <w:font w:name="Cambria Math">
    <w:panose1 w:val="02040503050406030204"/>
    <w:charset w:val="CC"/>
    <w:family w:val="roman"/>
    <w:pitch w:val="variable"/>
    <w:sig w:usb0="01010101" w:usb1="01010101" w:usb2="01010101" w:usb3="01010101" w:csb0="01010105" w:csb1="01010101"/>
  </w:font>
  <w:font w:name="JLMUQU+FZXBSJW--GB1-0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imSun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TKBUCW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imHei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DQRROP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AEQCIK+TimesNewRomanPS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JBRVKI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DGJDCA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KHWOIK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FangSong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UWJVRU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OQSQBK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IGRPCA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QJMPDL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OGAATP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NUOASM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HFBSVA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FLUKUF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DESABL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NOQBAG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QJCIIE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NAEJJH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UCMJFT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JLRSQJ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NMRHJ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OSAEBL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WGBABT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ROBRCI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BLQIOE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BOHNLT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UCRPU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MFHGCG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FRFAJC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ICPNVK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